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071E47" w14:textId="0883FFAB" w:rsidR="004D4DBE" w:rsidRDefault="004D4DBE" w:rsidP="00E60616">
      <w:pPr>
        <w:spacing w:before="240" w:after="0" w:line="276" w:lineRule="auto"/>
        <w:rPr>
          <w:rFonts w:cstheme="minorHAnsi"/>
          <w:b/>
          <w:color w:val="FF0000"/>
        </w:rPr>
      </w:pPr>
      <w:r w:rsidRPr="00A66C67">
        <w:rPr>
          <w:noProof/>
          <w:lang w:eastAsia="en-AU"/>
        </w:rPr>
        <w:drawing>
          <wp:anchor distT="0" distB="0" distL="114300" distR="114300" simplePos="0" relativeHeight="251659264" behindDoc="0" locked="0" layoutInCell="1" allowOverlap="1" wp14:anchorId="7FD056D5" wp14:editId="7B09B0E0">
            <wp:simplePos x="0" y="0"/>
            <wp:positionH relativeFrom="column">
              <wp:posOffset>-6643</wp:posOffset>
            </wp:positionH>
            <wp:positionV relativeFrom="paragraph">
              <wp:posOffset>0</wp:posOffset>
            </wp:positionV>
            <wp:extent cx="1594485" cy="65151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_CL_Vertical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4485" cy="651510"/>
                    </a:xfrm>
                    <a:prstGeom prst="rect">
                      <a:avLst/>
                    </a:prstGeom>
                  </pic:spPr>
                </pic:pic>
              </a:graphicData>
            </a:graphic>
            <wp14:sizeRelH relativeFrom="page">
              <wp14:pctWidth>0</wp14:pctWidth>
            </wp14:sizeRelH>
            <wp14:sizeRelV relativeFrom="page">
              <wp14:pctHeight>0</wp14:pctHeight>
            </wp14:sizeRelV>
          </wp:anchor>
        </w:drawing>
      </w:r>
    </w:p>
    <w:p w14:paraId="358E6259" w14:textId="7325B454" w:rsidR="004D4DBE" w:rsidRDefault="004D4DBE" w:rsidP="00E60616">
      <w:pPr>
        <w:spacing w:before="240" w:after="0" w:line="276" w:lineRule="auto"/>
        <w:rPr>
          <w:rFonts w:cstheme="minorHAnsi"/>
          <w:b/>
          <w:color w:val="FF0000"/>
        </w:rPr>
      </w:pPr>
    </w:p>
    <w:p w14:paraId="291699D7" w14:textId="66FB504C" w:rsidR="00A11388" w:rsidRPr="00A11388" w:rsidRDefault="00D91089" w:rsidP="00A11388">
      <w:pPr>
        <w:spacing w:line="276" w:lineRule="auto"/>
        <w:rPr>
          <w:rFonts w:cstheme="minorHAnsi"/>
          <w:b/>
          <w:color w:val="FF0000"/>
        </w:rPr>
      </w:pPr>
      <w:r w:rsidRPr="00A55538">
        <w:rPr>
          <w:rFonts w:cstheme="minorHAnsi"/>
          <w:b/>
          <w:color w:val="FF0000"/>
        </w:rPr>
        <w:t>Embargoed media release:</w:t>
      </w:r>
      <w:r w:rsidR="00A11388">
        <w:rPr>
          <w:rFonts w:cstheme="minorHAnsi"/>
          <w:b/>
          <w:color w:val="FF0000"/>
        </w:rPr>
        <w:t xml:space="preserve"> 5a</w:t>
      </w:r>
      <w:r w:rsidR="006E0543" w:rsidRPr="00A55538">
        <w:rPr>
          <w:rFonts w:cstheme="minorHAnsi"/>
          <w:b/>
          <w:color w:val="FF0000"/>
        </w:rPr>
        <w:t>m</w:t>
      </w:r>
      <w:r w:rsidR="009335A0" w:rsidRPr="00A55538">
        <w:rPr>
          <w:rFonts w:cstheme="minorHAnsi"/>
          <w:b/>
          <w:color w:val="FF0000"/>
        </w:rPr>
        <w:t>,</w:t>
      </w:r>
      <w:r w:rsidR="00772B61" w:rsidRPr="00A55538">
        <w:rPr>
          <w:rFonts w:cstheme="minorHAnsi"/>
          <w:b/>
          <w:color w:val="FF0000"/>
        </w:rPr>
        <w:t xml:space="preserve"> </w:t>
      </w:r>
      <w:r w:rsidR="00A11388">
        <w:rPr>
          <w:rFonts w:cstheme="minorHAnsi"/>
          <w:b/>
          <w:color w:val="FF0000"/>
        </w:rPr>
        <w:t>Thursday</w:t>
      </w:r>
      <w:r w:rsidR="006E0543" w:rsidRPr="00A55538">
        <w:rPr>
          <w:rFonts w:cstheme="minorHAnsi"/>
          <w:b/>
          <w:color w:val="FF0000"/>
        </w:rPr>
        <w:t>,</w:t>
      </w:r>
      <w:r w:rsidR="00A11388">
        <w:rPr>
          <w:rFonts w:cstheme="minorHAnsi"/>
          <w:b/>
          <w:color w:val="FF0000"/>
        </w:rPr>
        <w:t xml:space="preserve"> 1</w:t>
      </w:r>
      <w:r w:rsidR="00A11388" w:rsidRPr="00A11388">
        <w:rPr>
          <w:rFonts w:cstheme="minorHAnsi"/>
          <w:b/>
          <w:color w:val="FF0000"/>
          <w:vertAlign w:val="superscript"/>
        </w:rPr>
        <w:t>st</w:t>
      </w:r>
      <w:r w:rsidR="00A11388">
        <w:rPr>
          <w:rFonts w:cstheme="minorHAnsi"/>
          <w:b/>
          <w:color w:val="FF0000"/>
        </w:rPr>
        <w:t xml:space="preserve"> July</w:t>
      </w:r>
      <w:r w:rsidR="00A57389" w:rsidRPr="00A55538">
        <w:rPr>
          <w:rFonts w:cstheme="minorHAnsi"/>
          <w:b/>
          <w:color w:val="FF0000"/>
        </w:rPr>
        <w:t xml:space="preserve"> 2021</w:t>
      </w:r>
    </w:p>
    <w:p w14:paraId="551AD9C3" w14:textId="0BE3468F" w:rsidR="0010791C" w:rsidRDefault="00A11388" w:rsidP="00C82A84">
      <w:pPr>
        <w:spacing w:after="0" w:line="276" w:lineRule="auto"/>
        <w:jc w:val="center"/>
        <w:rPr>
          <w:rFonts w:cstheme="minorHAnsi"/>
          <w:i/>
          <w:sz w:val="20"/>
          <w:szCs w:val="20"/>
        </w:rPr>
      </w:pPr>
      <w:r w:rsidRPr="00A11388">
        <w:rPr>
          <w:rFonts w:eastAsia="Times New Roman" w:cstheme="minorHAnsi"/>
          <w:b/>
          <w:sz w:val="28"/>
          <w:szCs w:val="28"/>
          <w:lang w:eastAsia="en-AU"/>
        </w:rPr>
        <w:t xml:space="preserve">CoreLogic HPI shows market momentum continues to </w:t>
      </w:r>
      <w:proofErr w:type="gramStart"/>
      <w:r w:rsidRPr="00A11388">
        <w:rPr>
          <w:rFonts w:eastAsia="Times New Roman" w:cstheme="minorHAnsi"/>
          <w:b/>
          <w:sz w:val="28"/>
          <w:szCs w:val="28"/>
          <w:lang w:eastAsia="en-AU"/>
        </w:rPr>
        <w:t>fade</w:t>
      </w:r>
      <w:proofErr w:type="gramEnd"/>
    </w:p>
    <w:p w14:paraId="11686396" w14:textId="5712298D" w:rsidR="00A11388" w:rsidRPr="00A11388" w:rsidRDefault="00A11388" w:rsidP="00A11388">
      <w:pPr>
        <w:spacing w:before="240" w:after="0" w:line="276" w:lineRule="auto"/>
        <w:rPr>
          <w:rFonts w:cstheme="minorHAnsi"/>
          <w:sz w:val="24"/>
          <w:szCs w:val="24"/>
        </w:rPr>
      </w:pPr>
      <w:r w:rsidRPr="00A11388">
        <w:rPr>
          <w:rFonts w:cstheme="minorHAnsi"/>
          <w:sz w:val="24"/>
          <w:szCs w:val="24"/>
        </w:rPr>
        <w:t xml:space="preserve">According to the CoreLogic House Price Index (HPI), which is the most complete and robust measure of property value change in the market, nationwide values increased by 1.8% over June. </w:t>
      </w:r>
    </w:p>
    <w:p w14:paraId="4B772FF3" w14:textId="77777777" w:rsidR="00A11388" w:rsidRPr="00A11388" w:rsidRDefault="00A11388" w:rsidP="00A11388">
      <w:pPr>
        <w:spacing w:before="240" w:after="0" w:line="276" w:lineRule="auto"/>
        <w:rPr>
          <w:rFonts w:cstheme="minorHAnsi"/>
          <w:sz w:val="24"/>
          <w:szCs w:val="24"/>
        </w:rPr>
      </w:pPr>
      <w:r w:rsidRPr="00A11388">
        <w:rPr>
          <w:rFonts w:cstheme="minorHAnsi"/>
          <w:sz w:val="24"/>
          <w:szCs w:val="24"/>
        </w:rPr>
        <w:t>The figure shows a slight reduction on the 2.2% growth rate witnessed over May, providing early evidence of a gentle deceleration in market momentum.</w:t>
      </w:r>
    </w:p>
    <w:p w14:paraId="1E91C654" w14:textId="77777777" w:rsidR="00A11388" w:rsidRPr="00A11388" w:rsidRDefault="00A11388" w:rsidP="00A11388">
      <w:pPr>
        <w:spacing w:before="240" w:after="0" w:line="276" w:lineRule="auto"/>
        <w:rPr>
          <w:rFonts w:cstheme="minorHAnsi"/>
          <w:sz w:val="24"/>
          <w:szCs w:val="24"/>
        </w:rPr>
      </w:pPr>
      <w:r w:rsidRPr="00A11388">
        <w:rPr>
          <w:rFonts w:cstheme="minorHAnsi"/>
          <w:sz w:val="24"/>
          <w:szCs w:val="24"/>
        </w:rPr>
        <w:t>Nick Goodall, CoreLogic’s Head of Research says “The rate of growth in June slowed in 12 of New Zealand’s 18 largest markets, with a further three recording a drop in values over the month. In Gisborne, where values increased 35% in the past 12 months, there was a surprising change of direction with a fall in value of -0.9% over June.</w:t>
      </w:r>
    </w:p>
    <w:p w14:paraId="0E259996" w14:textId="77777777" w:rsidR="00A11388" w:rsidRPr="00A11388" w:rsidRDefault="00A11388" w:rsidP="00A11388">
      <w:pPr>
        <w:spacing w:before="240" w:after="0" w:line="276" w:lineRule="auto"/>
        <w:rPr>
          <w:rFonts w:cstheme="minorHAnsi"/>
          <w:sz w:val="24"/>
          <w:szCs w:val="24"/>
        </w:rPr>
      </w:pPr>
      <w:r w:rsidRPr="00A11388">
        <w:rPr>
          <w:rFonts w:cstheme="minorHAnsi"/>
          <w:sz w:val="24"/>
          <w:szCs w:val="24"/>
        </w:rPr>
        <w:t>“The exceptional growth displayed during the past year was not sustainable, particularly with increased deposit requirements, market uncertainty driven by Government regulation and the prospect of higher interest rates. The turnaround should perhaps not be too much of a surprise, though the timing of it certainly is,” says Mr Goodall.</w:t>
      </w:r>
    </w:p>
    <w:p w14:paraId="3540E8D5" w14:textId="77777777" w:rsidR="00A11388" w:rsidRPr="00A11388" w:rsidRDefault="00A11388" w:rsidP="00A11388">
      <w:pPr>
        <w:spacing w:before="240" w:after="0" w:line="276" w:lineRule="auto"/>
        <w:rPr>
          <w:rFonts w:cstheme="minorHAnsi"/>
          <w:sz w:val="24"/>
          <w:szCs w:val="24"/>
        </w:rPr>
      </w:pPr>
      <w:r w:rsidRPr="00A11388">
        <w:rPr>
          <w:rFonts w:cstheme="minorHAnsi"/>
          <w:sz w:val="24"/>
          <w:szCs w:val="24"/>
        </w:rPr>
        <w:t>Both New Plymouth (-0.3%) and Napier (-0.1%) also saw minor drops in property values in June, but in both cases the strength of recent growth means the quarterly rates still exceed 7%.</w:t>
      </w:r>
    </w:p>
    <w:p w14:paraId="743F1EB8" w14:textId="77777777" w:rsidR="00A11388" w:rsidRPr="00A11388" w:rsidRDefault="00A11388" w:rsidP="00A11388">
      <w:pPr>
        <w:spacing w:before="240" w:after="0" w:line="276" w:lineRule="auto"/>
        <w:rPr>
          <w:rFonts w:cstheme="minorHAnsi"/>
          <w:sz w:val="24"/>
          <w:szCs w:val="24"/>
        </w:rPr>
      </w:pPr>
      <w:r w:rsidRPr="00A11388">
        <w:rPr>
          <w:rFonts w:cstheme="minorHAnsi"/>
          <w:sz w:val="24"/>
          <w:szCs w:val="24"/>
        </w:rPr>
        <w:t>At the other end of the spectrum both Nelson and Invercargill saw increases in their monthly rate of growth, at 2.1% and 1.6% respectively, showing not all markets have lost momentum, while in Palmerston North, further growth of 3% in June has taken the annual growth rate to 38.6% and an average property value of more than $700,000 for the first time.</w:t>
      </w:r>
    </w:p>
    <w:p w14:paraId="3C2DB751" w14:textId="77777777" w:rsidR="00A11388" w:rsidRPr="00A11388" w:rsidRDefault="00A11388" w:rsidP="00A11388">
      <w:pPr>
        <w:spacing w:before="240" w:after="0" w:line="276" w:lineRule="auto"/>
        <w:rPr>
          <w:rFonts w:cstheme="minorHAnsi"/>
          <w:sz w:val="24"/>
          <w:szCs w:val="24"/>
        </w:rPr>
      </w:pPr>
      <w:proofErr w:type="gramStart"/>
      <w:r w:rsidRPr="00A11388">
        <w:rPr>
          <w:rFonts w:cstheme="minorHAnsi"/>
          <w:sz w:val="24"/>
          <w:szCs w:val="24"/>
        </w:rPr>
        <w:t>”Nationally</w:t>
      </w:r>
      <w:proofErr w:type="gramEnd"/>
      <w:r w:rsidRPr="00A11388">
        <w:rPr>
          <w:rFonts w:cstheme="minorHAnsi"/>
          <w:sz w:val="24"/>
          <w:szCs w:val="24"/>
        </w:rPr>
        <w:t xml:space="preserve"> average property values have increased 22.8% for the 12 months to June. The continued growth in the market, albeit at a slower rate, has taken the average property value across the country above $900,000 for the first time. Meanwhile the total value of all residential property in NZ has now streaked past the $1.5 trillion mark for the first time.</w:t>
      </w:r>
    </w:p>
    <w:p w14:paraId="3325A9F4" w14:textId="77777777" w:rsidR="00A11388" w:rsidRPr="00A11388" w:rsidRDefault="00A11388" w:rsidP="00A11388">
      <w:pPr>
        <w:spacing w:before="240" w:after="0" w:line="276" w:lineRule="auto"/>
        <w:rPr>
          <w:rFonts w:cstheme="minorHAnsi"/>
          <w:sz w:val="24"/>
          <w:szCs w:val="24"/>
        </w:rPr>
      </w:pPr>
      <w:r w:rsidRPr="00A11388">
        <w:rPr>
          <w:rFonts w:cstheme="minorHAnsi"/>
          <w:sz w:val="24"/>
          <w:szCs w:val="24"/>
        </w:rPr>
        <w:t>“These milestones will not necessarily be welcomed by all, especially hopeful first home buyers, however the tentative signs of change may provide some hope for would-be home buyers as well as the Government, who are under pressure to tilt the market in favour of new market entrants.</w:t>
      </w:r>
    </w:p>
    <w:p w14:paraId="5B627EAE" w14:textId="77777777" w:rsidR="00A11388" w:rsidRPr="00A11388" w:rsidRDefault="00A11388" w:rsidP="00A11388">
      <w:pPr>
        <w:spacing w:before="240" w:after="0" w:line="276" w:lineRule="auto"/>
        <w:rPr>
          <w:rFonts w:cstheme="minorHAnsi"/>
          <w:sz w:val="24"/>
          <w:szCs w:val="24"/>
        </w:rPr>
      </w:pPr>
      <w:r w:rsidRPr="00A11388">
        <w:rPr>
          <w:rFonts w:cstheme="minorHAnsi"/>
          <w:sz w:val="24"/>
          <w:szCs w:val="24"/>
        </w:rPr>
        <w:t>“On that note, the recent agreement to add debt-to-income (DTI) controls to the Reserve Bank’s macro-prudential toolkit adds another element of uncertainty for the market. This is particularly true for investors, for whom any restrictions will likely be tighter, further limiting their activity in the market,” says Mr Goodall.</w:t>
      </w:r>
    </w:p>
    <w:p w14:paraId="38966D14" w14:textId="77777777" w:rsidR="00A11388" w:rsidRPr="00A11388" w:rsidRDefault="00A11388" w:rsidP="00A11388">
      <w:pPr>
        <w:spacing w:before="240" w:after="0" w:line="276" w:lineRule="auto"/>
        <w:rPr>
          <w:rFonts w:cstheme="minorHAnsi"/>
          <w:sz w:val="24"/>
          <w:szCs w:val="24"/>
        </w:rPr>
      </w:pPr>
      <w:r w:rsidRPr="00A11388">
        <w:rPr>
          <w:rFonts w:cstheme="minorHAnsi"/>
          <w:sz w:val="24"/>
          <w:szCs w:val="24"/>
        </w:rPr>
        <w:lastRenderedPageBreak/>
        <w:t>CoreLogic notes any DTI restrictions would not be implemented in 2021, and with evidence appearing of a cooling market, it is unlikely the Reserve Bank will see the need to introduce further constraints in this cycle.</w:t>
      </w:r>
    </w:p>
    <w:p w14:paraId="1616B017" w14:textId="37ED3895" w:rsidR="00A11388" w:rsidRPr="00A11388" w:rsidRDefault="00A11388" w:rsidP="00A11388">
      <w:pPr>
        <w:spacing w:before="240" w:after="0" w:line="276" w:lineRule="auto"/>
        <w:rPr>
          <w:rFonts w:cstheme="minorHAnsi"/>
          <w:sz w:val="24"/>
          <w:szCs w:val="24"/>
        </w:rPr>
      </w:pPr>
      <w:r w:rsidRPr="00A11388">
        <w:rPr>
          <w:rFonts w:cstheme="minorHAnsi"/>
          <w:sz w:val="24"/>
          <w:szCs w:val="24"/>
        </w:rPr>
        <w:t>Mr Goodall says</w:t>
      </w:r>
      <w:r w:rsidR="00083F87">
        <w:rPr>
          <w:rFonts w:cstheme="minorHAnsi"/>
          <w:sz w:val="24"/>
          <w:szCs w:val="24"/>
        </w:rPr>
        <w:t>,</w:t>
      </w:r>
      <w:r w:rsidRPr="00A11388">
        <w:rPr>
          <w:rFonts w:cstheme="minorHAnsi"/>
          <w:sz w:val="24"/>
          <w:szCs w:val="24"/>
        </w:rPr>
        <w:t xml:space="preserve"> “Impending increases to interest rates are the other major factor weighing on the minds of owners’ and would-be buyers’ minds. A stronger than expected economic performance in Q1 has increased inflation expectations and alongside that comes earlier forecasts for increases to the Official Cash Rate (OCR) and subsequently </w:t>
      </w:r>
      <w:proofErr w:type="gramStart"/>
      <w:r w:rsidRPr="00A11388">
        <w:rPr>
          <w:rFonts w:cstheme="minorHAnsi"/>
          <w:sz w:val="24"/>
          <w:szCs w:val="24"/>
        </w:rPr>
        <w:t>short term</w:t>
      </w:r>
      <w:proofErr w:type="gramEnd"/>
      <w:r w:rsidRPr="00A11388">
        <w:rPr>
          <w:rFonts w:cstheme="minorHAnsi"/>
          <w:sz w:val="24"/>
          <w:szCs w:val="24"/>
        </w:rPr>
        <w:t xml:space="preserve"> interest rates. We have noticed longer term rates are already ticking up and given the high proportion of debt at a household level, borrowers will need to prepare for increased mortgage payments in the not-too-distant future. </w:t>
      </w:r>
    </w:p>
    <w:p w14:paraId="416A2E76" w14:textId="77777777" w:rsidR="00A11388" w:rsidRPr="00A11388" w:rsidRDefault="00A11388" w:rsidP="00A11388">
      <w:pPr>
        <w:spacing w:before="240" w:after="0" w:line="276" w:lineRule="auto"/>
        <w:rPr>
          <w:rFonts w:cstheme="minorHAnsi"/>
          <w:sz w:val="24"/>
          <w:szCs w:val="24"/>
        </w:rPr>
      </w:pPr>
      <w:r w:rsidRPr="00A11388">
        <w:rPr>
          <w:rFonts w:cstheme="minorHAnsi"/>
          <w:sz w:val="24"/>
          <w:szCs w:val="24"/>
        </w:rPr>
        <w:t xml:space="preserve">“It’s also worth noting that average NZ household mortgages are at record levels and even a small increase in mortgage rates could have a significant impact. </w:t>
      </w:r>
    </w:p>
    <w:p w14:paraId="0CAA1B20" w14:textId="77777777" w:rsidR="00A11388" w:rsidRPr="00A11388" w:rsidRDefault="00A11388" w:rsidP="00A11388">
      <w:pPr>
        <w:spacing w:before="240" w:after="0" w:line="276" w:lineRule="auto"/>
        <w:rPr>
          <w:rFonts w:cstheme="minorHAnsi"/>
          <w:sz w:val="24"/>
          <w:szCs w:val="24"/>
        </w:rPr>
      </w:pPr>
      <w:r w:rsidRPr="00A11388">
        <w:rPr>
          <w:rFonts w:cstheme="minorHAnsi"/>
          <w:sz w:val="24"/>
          <w:szCs w:val="24"/>
        </w:rPr>
        <w:t>“While our bank valuation activity confirms demand for residential property has and will continue to reduce, persistent low levels of new listings is likely to limit any significant drops in value. If the recent signs of weakness persist throughout the rest of the year however, alongside what would be a seasonal uplift in spring listings, we may finally start to see the imbalance of demand consistently outstripping supply addressed,” says Mr Goodall.</w:t>
      </w:r>
    </w:p>
    <w:p w14:paraId="6DE91005" w14:textId="72DF32EA" w:rsidR="00A277E3" w:rsidRDefault="0010791C" w:rsidP="00A277E3">
      <w:pPr>
        <w:spacing w:before="240" w:after="0" w:line="276" w:lineRule="auto"/>
        <w:rPr>
          <w:rFonts w:cstheme="minorHAnsi"/>
          <w:sz w:val="24"/>
          <w:szCs w:val="24"/>
        </w:rPr>
      </w:pPr>
      <w:r w:rsidRPr="004D4DBE">
        <w:rPr>
          <w:rFonts w:cstheme="minorHAnsi"/>
          <w:b/>
          <w:sz w:val="24"/>
          <w:szCs w:val="24"/>
        </w:rPr>
        <w:t xml:space="preserve">Highlights from the CoreLogic HPI data </w:t>
      </w:r>
      <w:r w:rsidR="00A11388">
        <w:rPr>
          <w:rFonts w:cstheme="minorHAnsi"/>
          <w:b/>
          <w:sz w:val="24"/>
          <w:szCs w:val="24"/>
        </w:rPr>
        <w:t>for June</w:t>
      </w:r>
      <w:r w:rsidRPr="004D4DBE">
        <w:rPr>
          <w:rFonts w:cstheme="minorHAnsi"/>
          <w:b/>
          <w:sz w:val="24"/>
          <w:szCs w:val="24"/>
        </w:rPr>
        <w:t>:</w:t>
      </w:r>
    </w:p>
    <w:p w14:paraId="5F382677" w14:textId="00378B56" w:rsidR="004D4DBE" w:rsidRPr="00A277E3" w:rsidRDefault="004D4DBE" w:rsidP="00A277E3">
      <w:pPr>
        <w:spacing w:before="240" w:line="276" w:lineRule="auto"/>
        <w:rPr>
          <w:rFonts w:cstheme="minorHAnsi"/>
          <w:sz w:val="24"/>
          <w:szCs w:val="24"/>
        </w:rPr>
      </w:pPr>
      <w:r w:rsidRPr="004D4DBE">
        <w:rPr>
          <w:b/>
          <w:lang w:val="en-US"/>
        </w:rPr>
        <w:t xml:space="preserve">National and Main </w:t>
      </w:r>
      <w:proofErr w:type="spellStart"/>
      <w:r w:rsidRPr="004D4DBE">
        <w:rPr>
          <w:b/>
          <w:lang w:val="en-US"/>
        </w:rPr>
        <w:t>Centres</w:t>
      </w:r>
      <w:proofErr w:type="spellEnd"/>
    </w:p>
    <w:tbl>
      <w:tblPr>
        <w:tblW w:w="5527" w:type="dxa"/>
        <w:tblLook w:val="04A0" w:firstRow="1" w:lastRow="0" w:firstColumn="1" w:lastColumn="0" w:noHBand="0" w:noVBand="1"/>
      </w:tblPr>
      <w:tblGrid>
        <w:gridCol w:w="1418"/>
        <w:gridCol w:w="839"/>
        <w:gridCol w:w="1049"/>
        <w:gridCol w:w="941"/>
        <w:gridCol w:w="1280"/>
      </w:tblGrid>
      <w:tr w:rsidR="00A11388" w:rsidRPr="00FB1AD8" w14:paraId="4B3166BD" w14:textId="77777777" w:rsidTr="00A11388">
        <w:trPr>
          <w:trHeight w:val="600"/>
        </w:trPr>
        <w:tc>
          <w:tcPr>
            <w:tcW w:w="1418" w:type="dxa"/>
            <w:tcBorders>
              <w:top w:val="nil"/>
              <w:left w:val="nil"/>
              <w:bottom w:val="nil"/>
              <w:right w:val="nil"/>
            </w:tcBorders>
            <w:shd w:val="clear" w:color="000000" w:fill="3899D5"/>
            <w:noWrap/>
            <w:vAlign w:val="bottom"/>
            <w:hideMark/>
          </w:tcPr>
          <w:p w14:paraId="6CB7CCD3" w14:textId="77777777" w:rsidR="00A11388" w:rsidRPr="00A11388" w:rsidRDefault="00A11388" w:rsidP="003E3A0E">
            <w:pPr>
              <w:rPr>
                <w:rFonts w:eastAsia="Times New Roman"/>
                <w:b/>
                <w:color w:val="FFFFFF"/>
                <w:lang w:eastAsia="en-AU"/>
              </w:rPr>
            </w:pPr>
            <w:r w:rsidRPr="00A11388">
              <w:rPr>
                <w:rFonts w:eastAsia="Times New Roman"/>
                <w:b/>
                <w:color w:val="FFFFFF"/>
                <w:lang w:eastAsia="en-AU"/>
              </w:rPr>
              <w:t> </w:t>
            </w:r>
          </w:p>
        </w:tc>
        <w:tc>
          <w:tcPr>
            <w:tcW w:w="2829" w:type="dxa"/>
            <w:gridSpan w:val="3"/>
            <w:tcBorders>
              <w:top w:val="nil"/>
              <w:left w:val="nil"/>
              <w:bottom w:val="nil"/>
              <w:right w:val="nil"/>
            </w:tcBorders>
            <w:shd w:val="clear" w:color="000000" w:fill="3899D5"/>
            <w:vAlign w:val="center"/>
            <w:hideMark/>
          </w:tcPr>
          <w:p w14:paraId="62399BFC" w14:textId="77777777" w:rsidR="00A11388" w:rsidRPr="00A11388" w:rsidRDefault="00A11388" w:rsidP="003E3A0E">
            <w:pPr>
              <w:jc w:val="center"/>
              <w:rPr>
                <w:rFonts w:eastAsia="Times New Roman"/>
                <w:b/>
                <w:color w:val="FFFFFF"/>
                <w:lang w:eastAsia="en-AU"/>
              </w:rPr>
            </w:pPr>
            <w:r w:rsidRPr="00A11388">
              <w:rPr>
                <w:rFonts w:eastAsia="Times New Roman"/>
                <w:b/>
                <w:color w:val="FFFFFF"/>
                <w:lang w:eastAsia="en-AU"/>
              </w:rPr>
              <w:t>Change in property values</w:t>
            </w:r>
          </w:p>
        </w:tc>
        <w:tc>
          <w:tcPr>
            <w:tcW w:w="1280" w:type="dxa"/>
            <w:vMerge w:val="restart"/>
            <w:tcBorders>
              <w:top w:val="nil"/>
              <w:left w:val="nil"/>
              <w:bottom w:val="nil"/>
              <w:right w:val="nil"/>
            </w:tcBorders>
            <w:shd w:val="clear" w:color="000000" w:fill="3899D5"/>
            <w:vAlign w:val="center"/>
            <w:hideMark/>
          </w:tcPr>
          <w:p w14:paraId="5721EA96" w14:textId="77777777" w:rsidR="00A11388" w:rsidRPr="00A11388" w:rsidRDefault="00A11388" w:rsidP="003E3A0E">
            <w:pPr>
              <w:jc w:val="center"/>
              <w:rPr>
                <w:rFonts w:eastAsia="Times New Roman"/>
                <w:b/>
                <w:color w:val="FFFFFF"/>
                <w:lang w:eastAsia="en-AU"/>
              </w:rPr>
            </w:pPr>
            <w:r w:rsidRPr="00A11388">
              <w:rPr>
                <w:rFonts w:eastAsia="Times New Roman"/>
                <w:b/>
                <w:color w:val="FFFFFF"/>
                <w:lang w:eastAsia="en-AU"/>
              </w:rPr>
              <w:t>Average Value</w:t>
            </w:r>
          </w:p>
        </w:tc>
      </w:tr>
      <w:tr w:rsidR="00A11388" w:rsidRPr="00FB1AD8" w14:paraId="7AB2E872" w14:textId="77777777" w:rsidTr="00A11388">
        <w:trPr>
          <w:trHeight w:val="60"/>
        </w:trPr>
        <w:tc>
          <w:tcPr>
            <w:tcW w:w="1418" w:type="dxa"/>
            <w:tcBorders>
              <w:top w:val="nil"/>
              <w:left w:val="nil"/>
              <w:bottom w:val="nil"/>
              <w:right w:val="nil"/>
            </w:tcBorders>
            <w:shd w:val="clear" w:color="000000" w:fill="3899D5"/>
            <w:noWrap/>
            <w:vAlign w:val="bottom"/>
            <w:hideMark/>
          </w:tcPr>
          <w:p w14:paraId="413F503B" w14:textId="77777777" w:rsidR="00A11388" w:rsidRPr="00FB1AD8" w:rsidRDefault="00A11388" w:rsidP="003E3A0E">
            <w:pPr>
              <w:rPr>
                <w:rFonts w:eastAsia="Times New Roman"/>
                <w:color w:val="FFFFFF"/>
                <w:lang w:eastAsia="en-AU"/>
              </w:rPr>
            </w:pPr>
            <w:r w:rsidRPr="00FB1AD8">
              <w:rPr>
                <w:rFonts w:eastAsia="Times New Roman"/>
                <w:color w:val="FFFFFF"/>
                <w:lang w:eastAsia="en-AU"/>
              </w:rPr>
              <w:t> </w:t>
            </w:r>
          </w:p>
        </w:tc>
        <w:tc>
          <w:tcPr>
            <w:tcW w:w="839" w:type="dxa"/>
            <w:tcBorders>
              <w:top w:val="nil"/>
              <w:left w:val="nil"/>
              <w:bottom w:val="nil"/>
              <w:right w:val="nil"/>
            </w:tcBorders>
            <w:shd w:val="clear" w:color="000000" w:fill="3899D5"/>
            <w:noWrap/>
            <w:vAlign w:val="center"/>
            <w:hideMark/>
          </w:tcPr>
          <w:p w14:paraId="34F5ACAB" w14:textId="77777777" w:rsidR="00A11388" w:rsidRPr="00A11388" w:rsidRDefault="00A11388" w:rsidP="003E3A0E">
            <w:pPr>
              <w:jc w:val="center"/>
              <w:rPr>
                <w:rFonts w:eastAsia="Times New Roman"/>
                <w:b/>
                <w:color w:val="FFFFFF"/>
                <w:lang w:eastAsia="en-AU"/>
              </w:rPr>
            </w:pPr>
            <w:r w:rsidRPr="00A11388">
              <w:rPr>
                <w:rFonts w:eastAsia="Times New Roman"/>
                <w:b/>
                <w:color w:val="FFFFFF"/>
                <w:lang w:eastAsia="en-AU"/>
              </w:rPr>
              <w:t>Month</w:t>
            </w:r>
          </w:p>
        </w:tc>
        <w:tc>
          <w:tcPr>
            <w:tcW w:w="1049" w:type="dxa"/>
            <w:tcBorders>
              <w:top w:val="nil"/>
              <w:left w:val="nil"/>
              <w:bottom w:val="nil"/>
              <w:right w:val="nil"/>
            </w:tcBorders>
            <w:shd w:val="clear" w:color="000000" w:fill="3899D5"/>
            <w:noWrap/>
            <w:vAlign w:val="center"/>
            <w:hideMark/>
          </w:tcPr>
          <w:p w14:paraId="4FEDEFAA" w14:textId="77777777" w:rsidR="00A11388" w:rsidRPr="00A11388" w:rsidRDefault="00A11388" w:rsidP="003E3A0E">
            <w:pPr>
              <w:jc w:val="center"/>
              <w:rPr>
                <w:rFonts w:eastAsia="Times New Roman"/>
                <w:b/>
                <w:color w:val="FFFFFF"/>
                <w:lang w:eastAsia="en-AU"/>
              </w:rPr>
            </w:pPr>
            <w:r w:rsidRPr="00A11388">
              <w:rPr>
                <w:rFonts w:eastAsia="Times New Roman"/>
                <w:b/>
                <w:color w:val="FFFFFF"/>
                <w:lang w:eastAsia="en-AU"/>
              </w:rPr>
              <w:t>Quarter</w:t>
            </w:r>
          </w:p>
        </w:tc>
        <w:tc>
          <w:tcPr>
            <w:tcW w:w="941" w:type="dxa"/>
            <w:tcBorders>
              <w:top w:val="nil"/>
              <w:left w:val="nil"/>
              <w:bottom w:val="nil"/>
              <w:right w:val="nil"/>
            </w:tcBorders>
            <w:shd w:val="clear" w:color="000000" w:fill="3899D5"/>
            <w:noWrap/>
            <w:vAlign w:val="center"/>
            <w:hideMark/>
          </w:tcPr>
          <w:p w14:paraId="76103AE6" w14:textId="77777777" w:rsidR="00A11388" w:rsidRPr="00A11388" w:rsidRDefault="00A11388" w:rsidP="003E3A0E">
            <w:pPr>
              <w:jc w:val="center"/>
              <w:rPr>
                <w:rFonts w:eastAsia="Times New Roman"/>
                <w:b/>
                <w:color w:val="FFFFFF"/>
                <w:lang w:eastAsia="en-AU"/>
              </w:rPr>
            </w:pPr>
            <w:r w:rsidRPr="00A11388">
              <w:rPr>
                <w:rFonts w:eastAsia="Times New Roman"/>
                <w:b/>
                <w:color w:val="FFFFFF"/>
                <w:lang w:eastAsia="en-AU"/>
              </w:rPr>
              <w:t>Annual</w:t>
            </w:r>
          </w:p>
        </w:tc>
        <w:tc>
          <w:tcPr>
            <w:tcW w:w="1280" w:type="dxa"/>
            <w:vMerge/>
            <w:tcBorders>
              <w:top w:val="nil"/>
              <w:left w:val="nil"/>
              <w:bottom w:val="nil"/>
              <w:right w:val="nil"/>
            </w:tcBorders>
            <w:vAlign w:val="center"/>
            <w:hideMark/>
          </w:tcPr>
          <w:p w14:paraId="67B08A34" w14:textId="77777777" w:rsidR="00A11388" w:rsidRPr="00FB1AD8" w:rsidRDefault="00A11388" w:rsidP="003E3A0E">
            <w:pPr>
              <w:rPr>
                <w:rFonts w:eastAsia="Times New Roman"/>
                <w:color w:val="FFFFFF"/>
                <w:lang w:eastAsia="en-AU"/>
              </w:rPr>
            </w:pPr>
          </w:p>
        </w:tc>
      </w:tr>
      <w:tr w:rsidR="00A11388" w:rsidRPr="00FB1AD8" w14:paraId="62EDF9CB" w14:textId="77777777" w:rsidTr="00A11388">
        <w:trPr>
          <w:trHeight w:val="290"/>
        </w:trPr>
        <w:tc>
          <w:tcPr>
            <w:tcW w:w="1418" w:type="dxa"/>
            <w:tcBorders>
              <w:top w:val="nil"/>
              <w:left w:val="nil"/>
              <w:bottom w:val="nil"/>
              <w:right w:val="nil"/>
            </w:tcBorders>
            <w:shd w:val="clear" w:color="auto" w:fill="FFFFFF" w:themeFill="background1"/>
            <w:noWrap/>
            <w:vAlign w:val="bottom"/>
            <w:hideMark/>
          </w:tcPr>
          <w:p w14:paraId="3C8C4B69"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New Zealand</w:t>
            </w:r>
          </w:p>
        </w:tc>
        <w:tc>
          <w:tcPr>
            <w:tcW w:w="839" w:type="dxa"/>
            <w:tcBorders>
              <w:top w:val="nil"/>
              <w:left w:val="nil"/>
              <w:bottom w:val="nil"/>
              <w:right w:val="nil"/>
            </w:tcBorders>
            <w:shd w:val="clear" w:color="auto" w:fill="FFFFFF" w:themeFill="background1"/>
            <w:noWrap/>
            <w:vAlign w:val="bottom"/>
            <w:hideMark/>
          </w:tcPr>
          <w:p w14:paraId="6D35C77E"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1.8%</w:t>
            </w:r>
          </w:p>
        </w:tc>
        <w:tc>
          <w:tcPr>
            <w:tcW w:w="1049" w:type="dxa"/>
            <w:tcBorders>
              <w:top w:val="nil"/>
              <w:left w:val="nil"/>
              <w:bottom w:val="nil"/>
              <w:right w:val="nil"/>
            </w:tcBorders>
            <w:shd w:val="clear" w:color="auto" w:fill="FFFFFF" w:themeFill="background1"/>
            <w:noWrap/>
            <w:vAlign w:val="bottom"/>
            <w:hideMark/>
          </w:tcPr>
          <w:p w14:paraId="4333307F"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7.2%</w:t>
            </w:r>
          </w:p>
        </w:tc>
        <w:tc>
          <w:tcPr>
            <w:tcW w:w="941" w:type="dxa"/>
            <w:tcBorders>
              <w:top w:val="nil"/>
              <w:left w:val="nil"/>
              <w:bottom w:val="nil"/>
              <w:right w:val="nil"/>
            </w:tcBorders>
            <w:shd w:val="clear" w:color="auto" w:fill="FFFFFF" w:themeFill="background1"/>
            <w:noWrap/>
            <w:vAlign w:val="bottom"/>
            <w:hideMark/>
          </w:tcPr>
          <w:p w14:paraId="1DD85E91"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22.8%</w:t>
            </w:r>
          </w:p>
        </w:tc>
        <w:tc>
          <w:tcPr>
            <w:tcW w:w="1280" w:type="dxa"/>
            <w:tcBorders>
              <w:top w:val="nil"/>
              <w:left w:val="nil"/>
              <w:bottom w:val="nil"/>
              <w:right w:val="nil"/>
            </w:tcBorders>
            <w:shd w:val="clear" w:color="auto" w:fill="FFFFFF" w:themeFill="background1"/>
            <w:noWrap/>
            <w:vAlign w:val="bottom"/>
            <w:hideMark/>
          </w:tcPr>
          <w:p w14:paraId="10B09FC5"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$906,532</w:t>
            </w:r>
          </w:p>
        </w:tc>
      </w:tr>
      <w:tr w:rsidR="00A11388" w:rsidRPr="00FB1AD8" w14:paraId="38726FA8" w14:textId="77777777" w:rsidTr="00A11388">
        <w:trPr>
          <w:trHeight w:val="290"/>
        </w:trPr>
        <w:tc>
          <w:tcPr>
            <w:tcW w:w="1418" w:type="dxa"/>
            <w:tcBorders>
              <w:top w:val="nil"/>
              <w:left w:val="nil"/>
              <w:bottom w:val="nil"/>
              <w:right w:val="nil"/>
            </w:tcBorders>
            <w:shd w:val="clear" w:color="000000" w:fill="F2F2F2"/>
            <w:noWrap/>
            <w:vAlign w:val="bottom"/>
            <w:hideMark/>
          </w:tcPr>
          <w:p w14:paraId="64E6FB9D"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Auckland</w:t>
            </w:r>
          </w:p>
        </w:tc>
        <w:tc>
          <w:tcPr>
            <w:tcW w:w="839" w:type="dxa"/>
            <w:tcBorders>
              <w:top w:val="nil"/>
              <w:left w:val="nil"/>
              <w:bottom w:val="nil"/>
              <w:right w:val="nil"/>
            </w:tcBorders>
            <w:shd w:val="clear" w:color="000000" w:fill="F2F2F2"/>
            <w:noWrap/>
            <w:vAlign w:val="bottom"/>
            <w:hideMark/>
          </w:tcPr>
          <w:p w14:paraId="0C4FA190"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1.5%</w:t>
            </w:r>
          </w:p>
        </w:tc>
        <w:tc>
          <w:tcPr>
            <w:tcW w:w="1049" w:type="dxa"/>
            <w:tcBorders>
              <w:top w:val="nil"/>
              <w:left w:val="nil"/>
              <w:bottom w:val="nil"/>
              <w:right w:val="nil"/>
            </w:tcBorders>
            <w:shd w:val="clear" w:color="000000" w:fill="F2F2F2"/>
            <w:noWrap/>
            <w:vAlign w:val="bottom"/>
            <w:hideMark/>
          </w:tcPr>
          <w:p w14:paraId="65F5B786"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5.3%</w:t>
            </w:r>
          </w:p>
        </w:tc>
        <w:tc>
          <w:tcPr>
            <w:tcW w:w="941" w:type="dxa"/>
            <w:tcBorders>
              <w:top w:val="nil"/>
              <w:left w:val="nil"/>
              <w:bottom w:val="nil"/>
              <w:right w:val="nil"/>
            </w:tcBorders>
            <w:shd w:val="clear" w:color="000000" w:fill="F2F2F2"/>
            <w:noWrap/>
            <w:vAlign w:val="bottom"/>
            <w:hideMark/>
          </w:tcPr>
          <w:p w14:paraId="1E8E81F3"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18.6%</w:t>
            </w:r>
          </w:p>
        </w:tc>
        <w:tc>
          <w:tcPr>
            <w:tcW w:w="1280" w:type="dxa"/>
            <w:tcBorders>
              <w:top w:val="nil"/>
              <w:left w:val="nil"/>
              <w:bottom w:val="nil"/>
              <w:right w:val="nil"/>
            </w:tcBorders>
            <w:shd w:val="clear" w:color="000000" w:fill="F2F2F2"/>
            <w:noWrap/>
            <w:vAlign w:val="bottom"/>
            <w:hideMark/>
          </w:tcPr>
          <w:p w14:paraId="5C1BFAD4"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$1,283,895</w:t>
            </w:r>
          </w:p>
        </w:tc>
      </w:tr>
      <w:tr w:rsidR="00A11388" w:rsidRPr="00FB1AD8" w14:paraId="1F2FDB09" w14:textId="77777777" w:rsidTr="00A11388">
        <w:trPr>
          <w:trHeight w:val="290"/>
        </w:trPr>
        <w:tc>
          <w:tcPr>
            <w:tcW w:w="1418" w:type="dxa"/>
            <w:tcBorders>
              <w:top w:val="nil"/>
              <w:left w:val="nil"/>
              <w:bottom w:val="nil"/>
              <w:right w:val="nil"/>
            </w:tcBorders>
            <w:shd w:val="clear" w:color="auto" w:fill="auto"/>
            <w:noWrap/>
            <w:vAlign w:val="bottom"/>
            <w:hideMark/>
          </w:tcPr>
          <w:p w14:paraId="1932554D"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Hamilton</w:t>
            </w:r>
          </w:p>
        </w:tc>
        <w:tc>
          <w:tcPr>
            <w:tcW w:w="839" w:type="dxa"/>
            <w:tcBorders>
              <w:top w:val="nil"/>
              <w:left w:val="nil"/>
              <w:bottom w:val="nil"/>
              <w:right w:val="nil"/>
            </w:tcBorders>
            <w:shd w:val="clear" w:color="auto" w:fill="auto"/>
            <w:noWrap/>
            <w:vAlign w:val="bottom"/>
            <w:hideMark/>
          </w:tcPr>
          <w:p w14:paraId="3AFF3993"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1.9%</w:t>
            </w:r>
          </w:p>
        </w:tc>
        <w:tc>
          <w:tcPr>
            <w:tcW w:w="1049" w:type="dxa"/>
            <w:tcBorders>
              <w:top w:val="nil"/>
              <w:left w:val="nil"/>
              <w:bottom w:val="nil"/>
              <w:right w:val="nil"/>
            </w:tcBorders>
            <w:shd w:val="clear" w:color="auto" w:fill="auto"/>
            <w:noWrap/>
            <w:vAlign w:val="bottom"/>
            <w:hideMark/>
          </w:tcPr>
          <w:p w14:paraId="6C5084A1"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10.0%</w:t>
            </w:r>
          </w:p>
        </w:tc>
        <w:tc>
          <w:tcPr>
            <w:tcW w:w="941" w:type="dxa"/>
            <w:tcBorders>
              <w:top w:val="nil"/>
              <w:left w:val="nil"/>
              <w:bottom w:val="nil"/>
              <w:right w:val="nil"/>
            </w:tcBorders>
            <w:shd w:val="clear" w:color="auto" w:fill="auto"/>
            <w:noWrap/>
            <w:vAlign w:val="bottom"/>
            <w:hideMark/>
          </w:tcPr>
          <w:p w14:paraId="67FD1896"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27.7%</w:t>
            </w:r>
          </w:p>
        </w:tc>
        <w:tc>
          <w:tcPr>
            <w:tcW w:w="1280" w:type="dxa"/>
            <w:tcBorders>
              <w:top w:val="nil"/>
              <w:left w:val="nil"/>
              <w:bottom w:val="nil"/>
              <w:right w:val="nil"/>
            </w:tcBorders>
            <w:shd w:val="clear" w:color="auto" w:fill="auto"/>
            <w:noWrap/>
            <w:vAlign w:val="bottom"/>
            <w:hideMark/>
          </w:tcPr>
          <w:p w14:paraId="73A51552"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$801,919</w:t>
            </w:r>
          </w:p>
        </w:tc>
      </w:tr>
      <w:tr w:rsidR="00A11388" w:rsidRPr="00FB1AD8" w14:paraId="4CEDFFF7" w14:textId="77777777" w:rsidTr="00A11388">
        <w:trPr>
          <w:trHeight w:val="290"/>
        </w:trPr>
        <w:tc>
          <w:tcPr>
            <w:tcW w:w="1418" w:type="dxa"/>
            <w:tcBorders>
              <w:top w:val="nil"/>
              <w:left w:val="nil"/>
              <w:bottom w:val="nil"/>
              <w:right w:val="nil"/>
            </w:tcBorders>
            <w:shd w:val="clear" w:color="000000" w:fill="F2F2F2"/>
            <w:noWrap/>
            <w:vAlign w:val="bottom"/>
            <w:hideMark/>
          </w:tcPr>
          <w:p w14:paraId="09F29FA5"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Tauranga</w:t>
            </w:r>
          </w:p>
        </w:tc>
        <w:tc>
          <w:tcPr>
            <w:tcW w:w="839" w:type="dxa"/>
            <w:tcBorders>
              <w:top w:val="nil"/>
              <w:left w:val="nil"/>
              <w:bottom w:val="nil"/>
              <w:right w:val="nil"/>
            </w:tcBorders>
            <w:shd w:val="clear" w:color="000000" w:fill="F2F2F2"/>
            <w:noWrap/>
            <w:vAlign w:val="bottom"/>
            <w:hideMark/>
          </w:tcPr>
          <w:p w14:paraId="3BE33956"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1.0%</w:t>
            </w:r>
          </w:p>
        </w:tc>
        <w:tc>
          <w:tcPr>
            <w:tcW w:w="1049" w:type="dxa"/>
            <w:tcBorders>
              <w:top w:val="nil"/>
              <w:left w:val="nil"/>
              <w:bottom w:val="nil"/>
              <w:right w:val="nil"/>
            </w:tcBorders>
            <w:shd w:val="clear" w:color="000000" w:fill="F2F2F2"/>
            <w:noWrap/>
            <w:vAlign w:val="bottom"/>
            <w:hideMark/>
          </w:tcPr>
          <w:p w14:paraId="171B5B28"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9.0%</w:t>
            </w:r>
          </w:p>
        </w:tc>
        <w:tc>
          <w:tcPr>
            <w:tcW w:w="941" w:type="dxa"/>
            <w:tcBorders>
              <w:top w:val="nil"/>
              <w:left w:val="nil"/>
              <w:bottom w:val="nil"/>
              <w:right w:val="nil"/>
            </w:tcBorders>
            <w:shd w:val="clear" w:color="000000" w:fill="F2F2F2"/>
            <w:noWrap/>
            <w:vAlign w:val="bottom"/>
            <w:hideMark/>
          </w:tcPr>
          <w:p w14:paraId="0F84C8E1"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23.2%</w:t>
            </w:r>
          </w:p>
        </w:tc>
        <w:tc>
          <w:tcPr>
            <w:tcW w:w="1280" w:type="dxa"/>
            <w:tcBorders>
              <w:top w:val="nil"/>
              <w:left w:val="nil"/>
              <w:bottom w:val="nil"/>
              <w:right w:val="nil"/>
            </w:tcBorders>
            <w:shd w:val="clear" w:color="000000" w:fill="F2F2F2"/>
            <w:noWrap/>
            <w:vAlign w:val="bottom"/>
            <w:hideMark/>
          </w:tcPr>
          <w:p w14:paraId="741B0DD1"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$978,067</w:t>
            </w:r>
          </w:p>
        </w:tc>
      </w:tr>
      <w:tr w:rsidR="00A11388" w:rsidRPr="00FB1AD8" w14:paraId="19FA9D58" w14:textId="77777777" w:rsidTr="00A11388">
        <w:trPr>
          <w:trHeight w:val="290"/>
        </w:trPr>
        <w:tc>
          <w:tcPr>
            <w:tcW w:w="1418" w:type="dxa"/>
            <w:tcBorders>
              <w:top w:val="nil"/>
              <w:left w:val="nil"/>
              <w:bottom w:val="nil"/>
              <w:right w:val="nil"/>
            </w:tcBorders>
            <w:shd w:val="clear" w:color="auto" w:fill="auto"/>
            <w:noWrap/>
            <w:vAlign w:val="bottom"/>
            <w:hideMark/>
          </w:tcPr>
          <w:p w14:paraId="61817614"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Wellington</w:t>
            </w:r>
          </w:p>
        </w:tc>
        <w:tc>
          <w:tcPr>
            <w:tcW w:w="839" w:type="dxa"/>
            <w:tcBorders>
              <w:top w:val="nil"/>
              <w:left w:val="nil"/>
              <w:bottom w:val="nil"/>
              <w:right w:val="nil"/>
            </w:tcBorders>
            <w:shd w:val="clear" w:color="auto" w:fill="auto"/>
            <w:noWrap/>
            <w:vAlign w:val="bottom"/>
            <w:hideMark/>
          </w:tcPr>
          <w:p w14:paraId="3E9BC4D1"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2.3%</w:t>
            </w:r>
          </w:p>
        </w:tc>
        <w:tc>
          <w:tcPr>
            <w:tcW w:w="1049" w:type="dxa"/>
            <w:tcBorders>
              <w:top w:val="nil"/>
              <w:left w:val="nil"/>
              <w:bottom w:val="nil"/>
              <w:right w:val="nil"/>
            </w:tcBorders>
            <w:shd w:val="clear" w:color="auto" w:fill="auto"/>
            <w:noWrap/>
            <w:vAlign w:val="bottom"/>
            <w:hideMark/>
          </w:tcPr>
          <w:p w14:paraId="78DA60D0"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9.5%</w:t>
            </w:r>
          </w:p>
        </w:tc>
        <w:tc>
          <w:tcPr>
            <w:tcW w:w="941" w:type="dxa"/>
            <w:tcBorders>
              <w:top w:val="nil"/>
              <w:left w:val="nil"/>
              <w:bottom w:val="nil"/>
              <w:right w:val="nil"/>
            </w:tcBorders>
            <w:shd w:val="clear" w:color="auto" w:fill="auto"/>
            <w:noWrap/>
            <w:vAlign w:val="bottom"/>
            <w:hideMark/>
          </w:tcPr>
          <w:p w14:paraId="6CC0F210"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30.8%</w:t>
            </w:r>
          </w:p>
        </w:tc>
        <w:tc>
          <w:tcPr>
            <w:tcW w:w="1280" w:type="dxa"/>
            <w:tcBorders>
              <w:top w:val="nil"/>
              <w:left w:val="nil"/>
              <w:bottom w:val="nil"/>
              <w:right w:val="nil"/>
            </w:tcBorders>
            <w:shd w:val="clear" w:color="auto" w:fill="auto"/>
            <w:noWrap/>
            <w:vAlign w:val="bottom"/>
            <w:hideMark/>
          </w:tcPr>
          <w:p w14:paraId="41133C3C"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$1,024,649</w:t>
            </w:r>
          </w:p>
        </w:tc>
      </w:tr>
      <w:tr w:rsidR="00A11388" w:rsidRPr="00FB1AD8" w14:paraId="5F216630" w14:textId="77777777" w:rsidTr="00A11388">
        <w:trPr>
          <w:trHeight w:val="290"/>
        </w:trPr>
        <w:tc>
          <w:tcPr>
            <w:tcW w:w="1418" w:type="dxa"/>
            <w:tcBorders>
              <w:top w:val="nil"/>
              <w:left w:val="nil"/>
              <w:bottom w:val="nil"/>
              <w:right w:val="nil"/>
            </w:tcBorders>
            <w:shd w:val="clear" w:color="000000" w:fill="F2F2F2"/>
            <w:noWrap/>
            <w:vAlign w:val="bottom"/>
            <w:hideMark/>
          </w:tcPr>
          <w:p w14:paraId="3E7300C0"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Christchurch</w:t>
            </w:r>
          </w:p>
        </w:tc>
        <w:tc>
          <w:tcPr>
            <w:tcW w:w="839" w:type="dxa"/>
            <w:tcBorders>
              <w:top w:val="nil"/>
              <w:left w:val="nil"/>
              <w:bottom w:val="nil"/>
              <w:right w:val="nil"/>
            </w:tcBorders>
            <w:shd w:val="clear" w:color="000000" w:fill="F2F2F2"/>
            <w:noWrap/>
            <w:vAlign w:val="bottom"/>
            <w:hideMark/>
          </w:tcPr>
          <w:p w14:paraId="5CF0A00A"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3.0%</w:t>
            </w:r>
          </w:p>
        </w:tc>
        <w:tc>
          <w:tcPr>
            <w:tcW w:w="1049" w:type="dxa"/>
            <w:tcBorders>
              <w:top w:val="nil"/>
              <w:left w:val="nil"/>
              <w:bottom w:val="nil"/>
              <w:right w:val="nil"/>
            </w:tcBorders>
            <w:shd w:val="clear" w:color="000000" w:fill="F2F2F2"/>
            <w:noWrap/>
            <w:vAlign w:val="bottom"/>
            <w:hideMark/>
          </w:tcPr>
          <w:p w14:paraId="163874C1"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9.6%</w:t>
            </w:r>
          </w:p>
        </w:tc>
        <w:tc>
          <w:tcPr>
            <w:tcW w:w="941" w:type="dxa"/>
            <w:tcBorders>
              <w:top w:val="nil"/>
              <w:left w:val="nil"/>
              <w:bottom w:val="nil"/>
              <w:right w:val="nil"/>
            </w:tcBorders>
            <w:shd w:val="clear" w:color="000000" w:fill="F2F2F2"/>
            <w:noWrap/>
            <w:vAlign w:val="bottom"/>
            <w:hideMark/>
          </w:tcPr>
          <w:p w14:paraId="0EE3D0C8"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21.7%</w:t>
            </w:r>
          </w:p>
        </w:tc>
        <w:tc>
          <w:tcPr>
            <w:tcW w:w="1280" w:type="dxa"/>
            <w:tcBorders>
              <w:top w:val="nil"/>
              <w:left w:val="nil"/>
              <w:bottom w:val="nil"/>
              <w:right w:val="nil"/>
            </w:tcBorders>
            <w:shd w:val="clear" w:color="000000" w:fill="F2F2F2"/>
            <w:noWrap/>
            <w:vAlign w:val="bottom"/>
            <w:hideMark/>
          </w:tcPr>
          <w:p w14:paraId="54CD32C4"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$631,114</w:t>
            </w:r>
          </w:p>
        </w:tc>
      </w:tr>
      <w:tr w:rsidR="00A11388" w:rsidRPr="00FB1AD8" w14:paraId="00B00AAF" w14:textId="77777777" w:rsidTr="00A11388">
        <w:trPr>
          <w:trHeight w:val="290"/>
        </w:trPr>
        <w:tc>
          <w:tcPr>
            <w:tcW w:w="1418" w:type="dxa"/>
            <w:tcBorders>
              <w:top w:val="nil"/>
              <w:left w:val="nil"/>
              <w:bottom w:val="nil"/>
              <w:right w:val="nil"/>
            </w:tcBorders>
            <w:shd w:val="clear" w:color="auto" w:fill="auto"/>
            <w:noWrap/>
            <w:vAlign w:val="bottom"/>
            <w:hideMark/>
          </w:tcPr>
          <w:p w14:paraId="1F5A293D"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Dunedin</w:t>
            </w:r>
          </w:p>
        </w:tc>
        <w:tc>
          <w:tcPr>
            <w:tcW w:w="839" w:type="dxa"/>
            <w:tcBorders>
              <w:top w:val="nil"/>
              <w:left w:val="nil"/>
              <w:bottom w:val="nil"/>
              <w:right w:val="nil"/>
            </w:tcBorders>
            <w:shd w:val="clear" w:color="auto" w:fill="auto"/>
            <w:noWrap/>
            <w:vAlign w:val="bottom"/>
            <w:hideMark/>
          </w:tcPr>
          <w:p w14:paraId="60ECCEEB"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1.3%</w:t>
            </w:r>
          </w:p>
        </w:tc>
        <w:tc>
          <w:tcPr>
            <w:tcW w:w="1049" w:type="dxa"/>
            <w:tcBorders>
              <w:top w:val="nil"/>
              <w:left w:val="nil"/>
              <w:bottom w:val="nil"/>
              <w:right w:val="nil"/>
            </w:tcBorders>
            <w:shd w:val="clear" w:color="auto" w:fill="auto"/>
            <w:noWrap/>
            <w:vAlign w:val="bottom"/>
            <w:hideMark/>
          </w:tcPr>
          <w:p w14:paraId="77CAEB54"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5.5%</w:t>
            </w:r>
          </w:p>
        </w:tc>
        <w:tc>
          <w:tcPr>
            <w:tcW w:w="941" w:type="dxa"/>
            <w:tcBorders>
              <w:top w:val="nil"/>
              <w:left w:val="nil"/>
              <w:bottom w:val="nil"/>
              <w:right w:val="nil"/>
            </w:tcBorders>
            <w:shd w:val="clear" w:color="auto" w:fill="auto"/>
            <w:noWrap/>
            <w:vAlign w:val="bottom"/>
            <w:hideMark/>
          </w:tcPr>
          <w:p w14:paraId="3EB2ED2D"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19.6%</w:t>
            </w:r>
          </w:p>
        </w:tc>
        <w:tc>
          <w:tcPr>
            <w:tcW w:w="1280" w:type="dxa"/>
            <w:tcBorders>
              <w:top w:val="nil"/>
              <w:left w:val="nil"/>
              <w:bottom w:val="nil"/>
              <w:right w:val="nil"/>
            </w:tcBorders>
            <w:shd w:val="clear" w:color="auto" w:fill="auto"/>
            <w:noWrap/>
            <w:vAlign w:val="bottom"/>
            <w:hideMark/>
          </w:tcPr>
          <w:p w14:paraId="7141B455"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$654,995</w:t>
            </w:r>
          </w:p>
        </w:tc>
      </w:tr>
    </w:tbl>
    <w:p w14:paraId="27BA5320" w14:textId="1BB682CE" w:rsidR="00A11388" w:rsidRPr="00A11388" w:rsidRDefault="00A11388" w:rsidP="00A11388">
      <w:pPr>
        <w:spacing w:before="240"/>
        <w:rPr>
          <w:iCs/>
          <w:sz w:val="24"/>
          <w:szCs w:val="24"/>
        </w:rPr>
      </w:pPr>
      <w:r w:rsidRPr="00A11388">
        <w:rPr>
          <w:iCs/>
          <w:sz w:val="24"/>
          <w:szCs w:val="24"/>
        </w:rPr>
        <w:t xml:space="preserve">Property values in </w:t>
      </w:r>
      <w:r w:rsidRPr="00A11388">
        <w:rPr>
          <w:b/>
          <w:iCs/>
          <w:sz w:val="24"/>
          <w:szCs w:val="24"/>
        </w:rPr>
        <w:t>Auckland</w:t>
      </w:r>
      <w:r w:rsidRPr="00A11388">
        <w:rPr>
          <w:iCs/>
          <w:sz w:val="24"/>
          <w:szCs w:val="24"/>
        </w:rPr>
        <w:t xml:space="preserve"> continue to grow, however the quarterly growth rate has slowed to 5.3%, from a recent peak of 7.4% for the three months ending February 2021. Reflecting affordability constraints, </w:t>
      </w:r>
      <w:proofErr w:type="gramStart"/>
      <w:r w:rsidRPr="00A11388">
        <w:rPr>
          <w:iCs/>
          <w:sz w:val="24"/>
          <w:szCs w:val="24"/>
        </w:rPr>
        <w:t>it’s</w:t>
      </w:r>
      <w:proofErr w:type="gramEnd"/>
      <w:r w:rsidRPr="00A11388">
        <w:rPr>
          <w:iCs/>
          <w:sz w:val="24"/>
          <w:szCs w:val="24"/>
        </w:rPr>
        <w:t xml:space="preserve"> the more expensive parts of the cities seeing the greatest slowdown in value growth. Values in the old </w:t>
      </w:r>
      <w:r w:rsidRPr="00A11388">
        <w:rPr>
          <w:b/>
          <w:iCs/>
          <w:sz w:val="24"/>
          <w:szCs w:val="24"/>
        </w:rPr>
        <w:t>Auckland City</w:t>
      </w:r>
      <w:r w:rsidRPr="00A11388">
        <w:rPr>
          <w:iCs/>
          <w:sz w:val="24"/>
          <w:szCs w:val="24"/>
        </w:rPr>
        <w:t xml:space="preserve"> area (within the isthmus), with an average value nudging $1.5m ($1.49m), increased by 0.7% over the month compared to </w:t>
      </w:r>
      <w:r w:rsidRPr="00A11388">
        <w:rPr>
          <w:b/>
          <w:iCs/>
          <w:sz w:val="24"/>
          <w:szCs w:val="24"/>
        </w:rPr>
        <w:t>Franklin</w:t>
      </w:r>
      <w:r w:rsidRPr="00A11388">
        <w:rPr>
          <w:iCs/>
          <w:sz w:val="24"/>
          <w:szCs w:val="24"/>
        </w:rPr>
        <w:t xml:space="preserve"> at 3.7% ($860k).</w:t>
      </w:r>
    </w:p>
    <w:p w14:paraId="394D88CC" w14:textId="77777777" w:rsidR="00A11388" w:rsidRPr="00A11388" w:rsidRDefault="00A11388" w:rsidP="00A11388">
      <w:pPr>
        <w:rPr>
          <w:iCs/>
          <w:sz w:val="24"/>
          <w:szCs w:val="24"/>
        </w:rPr>
      </w:pPr>
      <w:r w:rsidRPr="00A11388">
        <w:rPr>
          <w:iCs/>
          <w:sz w:val="24"/>
          <w:szCs w:val="24"/>
        </w:rPr>
        <w:lastRenderedPageBreak/>
        <w:t xml:space="preserve">The average value in </w:t>
      </w:r>
      <w:r w:rsidRPr="00A11388">
        <w:rPr>
          <w:b/>
          <w:iCs/>
          <w:sz w:val="24"/>
          <w:szCs w:val="24"/>
        </w:rPr>
        <w:t>Hamilton</w:t>
      </w:r>
      <w:r w:rsidRPr="00A11388">
        <w:rPr>
          <w:iCs/>
          <w:sz w:val="24"/>
          <w:szCs w:val="24"/>
        </w:rPr>
        <w:t xml:space="preserve"> now exceeds $800k, as the market grew by a further 1.9% over June. This is the slowest monthly growth rate since December 2020 though, so the signs are also there of a slowdown in a market which has seen 27.7% growth in the last year.</w:t>
      </w:r>
    </w:p>
    <w:p w14:paraId="1C0A6684" w14:textId="77777777" w:rsidR="00A11388" w:rsidRPr="00A11388" w:rsidRDefault="00A11388" w:rsidP="00A11388">
      <w:pPr>
        <w:rPr>
          <w:iCs/>
          <w:sz w:val="24"/>
          <w:szCs w:val="24"/>
        </w:rPr>
      </w:pPr>
      <w:r w:rsidRPr="00A11388">
        <w:rPr>
          <w:b/>
          <w:iCs/>
          <w:sz w:val="24"/>
          <w:szCs w:val="24"/>
        </w:rPr>
        <w:t>Tauranga’s</w:t>
      </w:r>
      <w:r w:rsidRPr="00A11388">
        <w:rPr>
          <w:iCs/>
          <w:sz w:val="24"/>
          <w:szCs w:val="24"/>
        </w:rPr>
        <w:t xml:space="preserve"> recent Jekyll and Hyde performance continued with the monthly rate of growth in June dropping to 1%, down from 5.1% in May, which was </w:t>
      </w:r>
      <w:proofErr w:type="gramStart"/>
      <w:r w:rsidRPr="00A11388">
        <w:rPr>
          <w:iCs/>
          <w:sz w:val="24"/>
          <w:szCs w:val="24"/>
        </w:rPr>
        <w:t>in itself a</w:t>
      </w:r>
      <w:proofErr w:type="gramEnd"/>
      <w:r w:rsidRPr="00A11388">
        <w:rPr>
          <w:iCs/>
          <w:sz w:val="24"/>
          <w:szCs w:val="24"/>
        </w:rPr>
        <w:t xml:space="preserve"> turnaround from a drop of -1.5% in February. Such volatility could well be reflective of a market where uncertainty is a defining factor, with inconsistent sales results being achieved depending on property type, </w:t>
      </w:r>
      <w:proofErr w:type="gramStart"/>
      <w:r w:rsidRPr="00A11388">
        <w:rPr>
          <w:iCs/>
          <w:sz w:val="24"/>
          <w:szCs w:val="24"/>
        </w:rPr>
        <w:t>location</w:t>
      </w:r>
      <w:proofErr w:type="gramEnd"/>
      <w:r w:rsidRPr="00A11388">
        <w:rPr>
          <w:iCs/>
          <w:sz w:val="24"/>
          <w:szCs w:val="24"/>
        </w:rPr>
        <w:t xml:space="preserve"> and size. </w:t>
      </w:r>
    </w:p>
    <w:p w14:paraId="16B1EF76" w14:textId="77777777" w:rsidR="00A11388" w:rsidRPr="00A11388" w:rsidRDefault="00A11388" w:rsidP="00A11388">
      <w:pPr>
        <w:rPr>
          <w:iCs/>
          <w:sz w:val="24"/>
          <w:szCs w:val="24"/>
        </w:rPr>
      </w:pPr>
      <w:r w:rsidRPr="00A11388">
        <w:rPr>
          <w:iCs/>
          <w:sz w:val="24"/>
          <w:szCs w:val="24"/>
        </w:rPr>
        <w:t xml:space="preserve">In </w:t>
      </w:r>
      <w:r w:rsidRPr="00A11388">
        <w:rPr>
          <w:b/>
          <w:iCs/>
          <w:sz w:val="24"/>
          <w:szCs w:val="24"/>
        </w:rPr>
        <w:t>Wellington</w:t>
      </w:r>
      <w:r w:rsidRPr="00A11388">
        <w:rPr>
          <w:iCs/>
          <w:sz w:val="24"/>
          <w:szCs w:val="24"/>
        </w:rPr>
        <w:t xml:space="preserve"> there has been a reduction in the rate of growth, however the monthly rate is still above 2%, with the annual rate now exceeding 30% for the first time on record (back to 1990). The strength in growth across greater Wellington is relatively consistent with the monthly change ranging from 1.5% in </w:t>
      </w:r>
      <w:r w:rsidRPr="00A11388">
        <w:rPr>
          <w:b/>
          <w:iCs/>
          <w:sz w:val="24"/>
          <w:szCs w:val="24"/>
        </w:rPr>
        <w:t>Upper Hutt</w:t>
      </w:r>
      <w:r w:rsidRPr="00A11388">
        <w:rPr>
          <w:iCs/>
          <w:sz w:val="24"/>
          <w:szCs w:val="24"/>
        </w:rPr>
        <w:t xml:space="preserve"> to 2.6% in </w:t>
      </w:r>
      <w:r w:rsidRPr="00A11388">
        <w:rPr>
          <w:b/>
          <w:iCs/>
          <w:sz w:val="24"/>
          <w:szCs w:val="24"/>
        </w:rPr>
        <w:t>Lower Hutt</w:t>
      </w:r>
      <w:r w:rsidRPr="00A11388">
        <w:rPr>
          <w:iCs/>
          <w:sz w:val="24"/>
          <w:szCs w:val="24"/>
        </w:rPr>
        <w:t xml:space="preserve">. The average value in both </w:t>
      </w:r>
      <w:r w:rsidRPr="00A11388">
        <w:rPr>
          <w:b/>
          <w:iCs/>
          <w:sz w:val="24"/>
          <w:szCs w:val="24"/>
        </w:rPr>
        <w:t>Porirua</w:t>
      </w:r>
      <w:r w:rsidRPr="00A11388">
        <w:rPr>
          <w:iCs/>
          <w:sz w:val="24"/>
          <w:szCs w:val="24"/>
        </w:rPr>
        <w:t xml:space="preserve"> and Lower Hutt exceeded $900k for the first time at the end of June with both experiencing increases of over $220k in the last year.</w:t>
      </w:r>
    </w:p>
    <w:p w14:paraId="768411E6" w14:textId="77777777" w:rsidR="00A11388" w:rsidRPr="00A11388" w:rsidRDefault="00A11388" w:rsidP="00A11388">
      <w:pPr>
        <w:rPr>
          <w:iCs/>
          <w:sz w:val="24"/>
          <w:szCs w:val="24"/>
        </w:rPr>
      </w:pPr>
      <w:r w:rsidRPr="00A11388">
        <w:rPr>
          <w:iCs/>
          <w:sz w:val="24"/>
          <w:szCs w:val="24"/>
        </w:rPr>
        <w:t xml:space="preserve">As a city which experienced </w:t>
      </w:r>
      <w:proofErr w:type="gramStart"/>
      <w:r w:rsidRPr="00A11388">
        <w:rPr>
          <w:iCs/>
          <w:sz w:val="24"/>
          <w:szCs w:val="24"/>
        </w:rPr>
        <w:t>very little</w:t>
      </w:r>
      <w:proofErr w:type="gramEnd"/>
      <w:r w:rsidRPr="00A11388">
        <w:rPr>
          <w:iCs/>
          <w:sz w:val="24"/>
          <w:szCs w:val="24"/>
        </w:rPr>
        <w:t xml:space="preserve"> growth for the last five+ years, </w:t>
      </w:r>
      <w:r w:rsidRPr="00A11388">
        <w:rPr>
          <w:b/>
          <w:iCs/>
          <w:sz w:val="24"/>
          <w:szCs w:val="24"/>
        </w:rPr>
        <w:t>Christchurch</w:t>
      </w:r>
      <w:r w:rsidRPr="00A11388">
        <w:rPr>
          <w:iCs/>
          <w:sz w:val="24"/>
          <w:szCs w:val="24"/>
        </w:rPr>
        <w:t xml:space="preserve"> is very firmly playing catch up now, with the annual rate of growth exceeding 20% for the first time since 2006. Growth over June was 3%, the highest of the main centres.</w:t>
      </w:r>
    </w:p>
    <w:p w14:paraId="42620E78" w14:textId="77777777" w:rsidR="00A11388" w:rsidRPr="00A11388" w:rsidRDefault="00A11388" w:rsidP="00A11388">
      <w:pPr>
        <w:rPr>
          <w:iCs/>
          <w:sz w:val="24"/>
          <w:szCs w:val="24"/>
        </w:rPr>
      </w:pPr>
      <w:r w:rsidRPr="00A11388">
        <w:rPr>
          <w:iCs/>
          <w:sz w:val="24"/>
          <w:szCs w:val="24"/>
        </w:rPr>
        <w:t xml:space="preserve">Meanwhile the momentum in the </w:t>
      </w:r>
      <w:r w:rsidRPr="00A11388">
        <w:rPr>
          <w:b/>
          <w:iCs/>
          <w:sz w:val="24"/>
          <w:szCs w:val="24"/>
        </w:rPr>
        <w:t>Dunedin</w:t>
      </w:r>
      <w:r w:rsidRPr="00A11388">
        <w:rPr>
          <w:iCs/>
          <w:sz w:val="24"/>
          <w:szCs w:val="24"/>
        </w:rPr>
        <w:t xml:space="preserve"> property market has </w:t>
      </w:r>
      <w:proofErr w:type="gramStart"/>
      <w:r w:rsidRPr="00A11388">
        <w:rPr>
          <w:iCs/>
          <w:sz w:val="24"/>
          <w:szCs w:val="24"/>
        </w:rPr>
        <w:t>definitely stalled</w:t>
      </w:r>
      <w:proofErr w:type="gramEnd"/>
      <w:r w:rsidRPr="00A11388">
        <w:rPr>
          <w:iCs/>
          <w:sz w:val="24"/>
          <w:szCs w:val="24"/>
        </w:rPr>
        <w:t xml:space="preserve"> with the monthly rate of growth at 1.3%; the slowest rate since October 2020. This likely reflects the sheer exhaustion of a market which has grown by 42.7% in the last two years, and the subsequent impact that has had on housing affordability.</w:t>
      </w:r>
    </w:p>
    <w:p w14:paraId="521553F8" w14:textId="05334D72" w:rsidR="0010791C" w:rsidRPr="00A277E3" w:rsidRDefault="0010791C" w:rsidP="00A277E3">
      <w:pPr>
        <w:spacing w:before="240" w:line="276" w:lineRule="auto"/>
        <w:rPr>
          <w:rFonts w:cstheme="minorHAnsi"/>
          <w:sz w:val="24"/>
          <w:szCs w:val="24"/>
        </w:rPr>
      </w:pPr>
      <w:r w:rsidRPr="00A277E3">
        <w:rPr>
          <w:rFonts w:cstheme="minorHAnsi"/>
          <w:b/>
          <w:sz w:val="24"/>
          <w:szCs w:val="24"/>
        </w:rPr>
        <w:t>Provincial Centres (ordered by annual growth rate)</w:t>
      </w:r>
    </w:p>
    <w:tbl>
      <w:tblPr>
        <w:tblW w:w="6240" w:type="dxa"/>
        <w:tblLook w:val="04A0" w:firstRow="1" w:lastRow="0" w:firstColumn="1" w:lastColumn="0" w:noHBand="0" w:noVBand="1"/>
      </w:tblPr>
      <w:tblGrid>
        <w:gridCol w:w="1843"/>
        <w:gridCol w:w="863"/>
        <w:gridCol w:w="1136"/>
        <w:gridCol w:w="1018"/>
        <w:gridCol w:w="1380"/>
      </w:tblGrid>
      <w:tr w:rsidR="00A11388" w:rsidRPr="00FB1AD8" w14:paraId="43952805" w14:textId="77777777" w:rsidTr="003E3A0E">
        <w:trPr>
          <w:trHeight w:val="290"/>
        </w:trPr>
        <w:tc>
          <w:tcPr>
            <w:tcW w:w="1843" w:type="dxa"/>
            <w:tcBorders>
              <w:top w:val="nil"/>
              <w:left w:val="nil"/>
              <w:bottom w:val="nil"/>
              <w:right w:val="nil"/>
            </w:tcBorders>
            <w:shd w:val="clear" w:color="000000" w:fill="3899D5"/>
            <w:noWrap/>
            <w:vAlign w:val="bottom"/>
            <w:hideMark/>
          </w:tcPr>
          <w:p w14:paraId="51CAABFF" w14:textId="77777777" w:rsidR="00A11388" w:rsidRPr="00A11388" w:rsidRDefault="00A11388" w:rsidP="003E3A0E">
            <w:pPr>
              <w:rPr>
                <w:rFonts w:eastAsia="Times New Roman"/>
                <w:b/>
                <w:color w:val="FFFFFF"/>
                <w:lang w:eastAsia="en-AU"/>
              </w:rPr>
            </w:pPr>
            <w:r w:rsidRPr="00A11388">
              <w:rPr>
                <w:rFonts w:eastAsia="Times New Roman"/>
                <w:b/>
                <w:color w:val="FFFFFF"/>
                <w:lang w:eastAsia="en-AU"/>
              </w:rPr>
              <w:t> </w:t>
            </w:r>
          </w:p>
        </w:tc>
        <w:tc>
          <w:tcPr>
            <w:tcW w:w="3017" w:type="dxa"/>
            <w:gridSpan w:val="3"/>
            <w:tcBorders>
              <w:top w:val="nil"/>
              <w:left w:val="nil"/>
              <w:bottom w:val="nil"/>
              <w:right w:val="nil"/>
            </w:tcBorders>
            <w:shd w:val="clear" w:color="000000" w:fill="3899D5"/>
            <w:noWrap/>
            <w:vAlign w:val="center"/>
            <w:hideMark/>
          </w:tcPr>
          <w:p w14:paraId="67352702" w14:textId="77777777" w:rsidR="00A11388" w:rsidRPr="00A11388" w:rsidRDefault="00A11388" w:rsidP="003E3A0E">
            <w:pPr>
              <w:jc w:val="center"/>
              <w:rPr>
                <w:rFonts w:eastAsia="Times New Roman"/>
                <w:b/>
                <w:color w:val="FFFFFF"/>
                <w:lang w:eastAsia="en-AU"/>
              </w:rPr>
            </w:pPr>
            <w:r w:rsidRPr="00A11388">
              <w:rPr>
                <w:rFonts w:eastAsia="Times New Roman"/>
                <w:b/>
                <w:color w:val="FFFFFF"/>
                <w:lang w:eastAsia="en-AU"/>
              </w:rPr>
              <w:t>Change in property values</w:t>
            </w:r>
          </w:p>
        </w:tc>
        <w:tc>
          <w:tcPr>
            <w:tcW w:w="1380" w:type="dxa"/>
            <w:vMerge w:val="restart"/>
            <w:tcBorders>
              <w:top w:val="nil"/>
              <w:left w:val="nil"/>
              <w:bottom w:val="nil"/>
              <w:right w:val="nil"/>
            </w:tcBorders>
            <w:shd w:val="clear" w:color="000000" w:fill="3899D5"/>
            <w:vAlign w:val="center"/>
            <w:hideMark/>
          </w:tcPr>
          <w:p w14:paraId="7D265B9A" w14:textId="77777777" w:rsidR="00A11388" w:rsidRPr="00A11388" w:rsidRDefault="00A11388" w:rsidP="003E3A0E">
            <w:pPr>
              <w:jc w:val="center"/>
              <w:rPr>
                <w:rFonts w:eastAsia="Times New Roman"/>
                <w:b/>
                <w:color w:val="FFFFFF"/>
                <w:lang w:eastAsia="en-AU"/>
              </w:rPr>
            </w:pPr>
            <w:r w:rsidRPr="00A11388">
              <w:rPr>
                <w:rFonts w:eastAsia="Times New Roman"/>
                <w:b/>
                <w:color w:val="FFFFFF"/>
                <w:lang w:eastAsia="en-AU"/>
              </w:rPr>
              <w:t>Average Value</w:t>
            </w:r>
          </w:p>
        </w:tc>
      </w:tr>
      <w:tr w:rsidR="00A11388" w:rsidRPr="00FB1AD8" w14:paraId="2B3B8AE3" w14:textId="77777777" w:rsidTr="003E3A0E">
        <w:trPr>
          <w:trHeight w:val="290"/>
        </w:trPr>
        <w:tc>
          <w:tcPr>
            <w:tcW w:w="1843" w:type="dxa"/>
            <w:tcBorders>
              <w:top w:val="nil"/>
              <w:left w:val="nil"/>
              <w:bottom w:val="nil"/>
              <w:right w:val="nil"/>
            </w:tcBorders>
            <w:shd w:val="clear" w:color="000000" w:fill="3899D5"/>
            <w:noWrap/>
            <w:vAlign w:val="bottom"/>
            <w:hideMark/>
          </w:tcPr>
          <w:p w14:paraId="4C2D1212" w14:textId="77777777" w:rsidR="00A11388" w:rsidRPr="00A11388" w:rsidRDefault="00A11388" w:rsidP="003E3A0E">
            <w:pPr>
              <w:rPr>
                <w:rFonts w:eastAsia="Times New Roman"/>
                <w:b/>
                <w:color w:val="FFFFFF"/>
                <w:lang w:eastAsia="en-AU"/>
              </w:rPr>
            </w:pPr>
            <w:r w:rsidRPr="00A11388">
              <w:rPr>
                <w:rFonts w:eastAsia="Times New Roman"/>
                <w:b/>
                <w:color w:val="FFFFFF"/>
                <w:lang w:eastAsia="en-AU"/>
              </w:rPr>
              <w:t>TA</w:t>
            </w:r>
          </w:p>
        </w:tc>
        <w:tc>
          <w:tcPr>
            <w:tcW w:w="863" w:type="dxa"/>
            <w:tcBorders>
              <w:top w:val="nil"/>
              <w:left w:val="nil"/>
              <w:bottom w:val="nil"/>
              <w:right w:val="nil"/>
            </w:tcBorders>
            <w:shd w:val="clear" w:color="000000" w:fill="3899D5"/>
            <w:noWrap/>
            <w:vAlign w:val="center"/>
            <w:hideMark/>
          </w:tcPr>
          <w:p w14:paraId="781B169A" w14:textId="77777777" w:rsidR="00A11388" w:rsidRPr="00A11388" w:rsidRDefault="00A11388" w:rsidP="003E3A0E">
            <w:pPr>
              <w:jc w:val="center"/>
              <w:rPr>
                <w:rFonts w:eastAsia="Times New Roman"/>
                <w:b/>
                <w:color w:val="FFFFFF"/>
                <w:lang w:eastAsia="en-AU"/>
              </w:rPr>
            </w:pPr>
            <w:r w:rsidRPr="00A11388">
              <w:rPr>
                <w:rFonts w:eastAsia="Times New Roman"/>
                <w:b/>
                <w:color w:val="FFFFFF"/>
                <w:lang w:eastAsia="en-AU"/>
              </w:rPr>
              <w:t>Month</w:t>
            </w:r>
          </w:p>
        </w:tc>
        <w:tc>
          <w:tcPr>
            <w:tcW w:w="1136" w:type="dxa"/>
            <w:tcBorders>
              <w:top w:val="nil"/>
              <w:left w:val="nil"/>
              <w:bottom w:val="nil"/>
              <w:right w:val="nil"/>
            </w:tcBorders>
            <w:shd w:val="clear" w:color="000000" w:fill="3899D5"/>
            <w:noWrap/>
            <w:vAlign w:val="center"/>
            <w:hideMark/>
          </w:tcPr>
          <w:p w14:paraId="423EF886" w14:textId="77777777" w:rsidR="00A11388" w:rsidRPr="00A11388" w:rsidRDefault="00A11388" w:rsidP="003E3A0E">
            <w:pPr>
              <w:jc w:val="center"/>
              <w:rPr>
                <w:rFonts w:eastAsia="Times New Roman"/>
                <w:b/>
                <w:color w:val="FFFFFF"/>
                <w:lang w:eastAsia="en-AU"/>
              </w:rPr>
            </w:pPr>
            <w:r w:rsidRPr="00A11388">
              <w:rPr>
                <w:rFonts w:eastAsia="Times New Roman"/>
                <w:b/>
                <w:color w:val="FFFFFF"/>
                <w:lang w:eastAsia="en-AU"/>
              </w:rPr>
              <w:t>Quarter</w:t>
            </w:r>
          </w:p>
        </w:tc>
        <w:tc>
          <w:tcPr>
            <w:tcW w:w="1018" w:type="dxa"/>
            <w:tcBorders>
              <w:top w:val="nil"/>
              <w:left w:val="nil"/>
              <w:bottom w:val="nil"/>
              <w:right w:val="nil"/>
            </w:tcBorders>
            <w:shd w:val="clear" w:color="000000" w:fill="3899D5"/>
            <w:noWrap/>
            <w:vAlign w:val="center"/>
            <w:hideMark/>
          </w:tcPr>
          <w:p w14:paraId="04D0F9C9" w14:textId="77777777" w:rsidR="00A11388" w:rsidRPr="00A11388" w:rsidRDefault="00A11388" w:rsidP="003E3A0E">
            <w:pPr>
              <w:jc w:val="center"/>
              <w:rPr>
                <w:rFonts w:eastAsia="Times New Roman"/>
                <w:b/>
                <w:color w:val="FFFFFF"/>
                <w:lang w:eastAsia="en-AU"/>
              </w:rPr>
            </w:pPr>
            <w:r w:rsidRPr="00A11388">
              <w:rPr>
                <w:rFonts w:eastAsia="Times New Roman"/>
                <w:b/>
                <w:color w:val="FFFFFF"/>
                <w:lang w:eastAsia="en-AU"/>
              </w:rPr>
              <w:t>Annual</w:t>
            </w:r>
          </w:p>
        </w:tc>
        <w:tc>
          <w:tcPr>
            <w:tcW w:w="1380" w:type="dxa"/>
            <w:vMerge/>
            <w:tcBorders>
              <w:top w:val="nil"/>
              <w:left w:val="nil"/>
              <w:bottom w:val="nil"/>
              <w:right w:val="nil"/>
            </w:tcBorders>
            <w:vAlign w:val="center"/>
            <w:hideMark/>
          </w:tcPr>
          <w:p w14:paraId="600B43F9" w14:textId="77777777" w:rsidR="00A11388" w:rsidRPr="00FB1AD8" w:rsidRDefault="00A11388" w:rsidP="003E3A0E">
            <w:pPr>
              <w:rPr>
                <w:rFonts w:eastAsia="Times New Roman"/>
                <w:color w:val="FFFFFF"/>
                <w:lang w:eastAsia="en-AU"/>
              </w:rPr>
            </w:pPr>
          </w:p>
        </w:tc>
      </w:tr>
      <w:tr w:rsidR="00A11388" w:rsidRPr="00FB1AD8" w14:paraId="048F5C50" w14:textId="77777777" w:rsidTr="003E3A0E">
        <w:trPr>
          <w:trHeight w:val="290"/>
        </w:trPr>
        <w:tc>
          <w:tcPr>
            <w:tcW w:w="1843" w:type="dxa"/>
            <w:tcBorders>
              <w:top w:val="nil"/>
              <w:left w:val="nil"/>
              <w:bottom w:val="nil"/>
              <w:right w:val="nil"/>
            </w:tcBorders>
            <w:shd w:val="clear" w:color="000000" w:fill="F2F2F2"/>
            <w:noWrap/>
            <w:vAlign w:val="bottom"/>
            <w:hideMark/>
          </w:tcPr>
          <w:p w14:paraId="264C01BB"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Queenstown</w:t>
            </w:r>
          </w:p>
        </w:tc>
        <w:tc>
          <w:tcPr>
            <w:tcW w:w="863" w:type="dxa"/>
            <w:tcBorders>
              <w:top w:val="nil"/>
              <w:left w:val="nil"/>
              <w:bottom w:val="nil"/>
              <w:right w:val="nil"/>
            </w:tcBorders>
            <w:shd w:val="clear" w:color="000000" w:fill="F2F2F2"/>
            <w:noWrap/>
            <w:vAlign w:val="bottom"/>
            <w:hideMark/>
          </w:tcPr>
          <w:p w14:paraId="4CEB1F8D"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1.5%</w:t>
            </w:r>
          </w:p>
        </w:tc>
        <w:tc>
          <w:tcPr>
            <w:tcW w:w="1136" w:type="dxa"/>
            <w:tcBorders>
              <w:top w:val="nil"/>
              <w:left w:val="nil"/>
              <w:bottom w:val="nil"/>
              <w:right w:val="nil"/>
            </w:tcBorders>
            <w:shd w:val="clear" w:color="000000" w:fill="F2F2F2"/>
            <w:noWrap/>
            <w:vAlign w:val="bottom"/>
            <w:hideMark/>
          </w:tcPr>
          <w:p w14:paraId="73263C09"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7.3%</w:t>
            </w:r>
          </w:p>
        </w:tc>
        <w:tc>
          <w:tcPr>
            <w:tcW w:w="1018" w:type="dxa"/>
            <w:tcBorders>
              <w:top w:val="nil"/>
              <w:left w:val="nil"/>
              <w:bottom w:val="nil"/>
              <w:right w:val="nil"/>
            </w:tcBorders>
            <w:shd w:val="clear" w:color="000000" w:fill="F2F2F2"/>
            <w:noWrap/>
            <w:vAlign w:val="bottom"/>
            <w:hideMark/>
          </w:tcPr>
          <w:p w14:paraId="1CDA20FB"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14.4%</w:t>
            </w:r>
          </w:p>
        </w:tc>
        <w:tc>
          <w:tcPr>
            <w:tcW w:w="1380" w:type="dxa"/>
            <w:tcBorders>
              <w:top w:val="nil"/>
              <w:left w:val="nil"/>
              <w:bottom w:val="nil"/>
              <w:right w:val="nil"/>
            </w:tcBorders>
            <w:shd w:val="clear" w:color="000000" w:fill="F2F2F2"/>
            <w:noWrap/>
            <w:vAlign w:val="bottom"/>
            <w:hideMark/>
          </w:tcPr>
          <w:p w14:paraId="772FEC76"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$1,364,419</w:t>
            </w:r>
          </w:p>
        </w:tc>
      </w:tr>
      <w:tr w:rsidR="00A11388" w:rsidRPr="00FB1AD8" w14:paraId="7701C463" w14:textId="77777777" w:rsidTr="003E3A0E">
        <w:trPr>
          <w:trHeight w:val="290"/>
        </w:trPr>
        <w:tc>
          <w:tcPr>
            <w:tcW w:w="1843" w:type="dxa"/>
            <w:tcBorders>
              <w:top w:val="nil"/>
              <w:left w:val="nil"/>
              <w:bottom w:val="nil"/>
              <w:right w:val="nil"/>
            </w:tcBorders>
            <w:shd w:val="clear" w:color="auto" w:fill="auto"/>
            <w:noWrap/>
            <w:vAlign w:val="bottom"/>
            <w:hideMark/>
          </w:tcPr>
          <w:p w14:paraId="0AD51CD7"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Nelson</w:t>
            </w:r>
          </w:p>
        </w:tc>
        <w:tc>
          <w:tcPr>
            <w:tcW w:w="863" w:type="dxa"/>
            <w:tcBorders>
              <w:top w:val="nil"/>
              <w:left w:val="nil"/>
              <w:bottom w:val="nil"/>
              <w:right w:val="nil"/>
            </w:tcBorders>
            <w:shd w:val="clear" w:color="auto" w:fill="auto"/>
            <w:noWrap/>
            <w:vAlign w:val="bottom"/>
            <w:hideMark/>
          </w:tcPr>
          <w:p w14:paraId="2CC02B4A"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2.1%</w:t>
            </w:r>
          </w:p>
        </w:tc>
        <w:tc>
          <w:tcPr>
            <w:tcW w:w="1136" w:type="dxa"/>
            <w:tcBorders>
              <w:top w:val="nil"/>
              <w:left w:val="nil"/>
              <w:bottom w:val="nil"/>
              <w:right w:val="nil"/>
            </w:tcBorders>
            <w:shd w:val="clear" w:color="auto" w:fill="auto"/>
            <w:noWrap/>
            <w:vAlign w:val="bottom"/>
            <w:hideMark/>
          </w:tcPr>
          <w:p w14:paraId="63497EC9"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4.8%</w:t>
            </w:r>
          </w:p>
        </w:tc>
        <w:tc>
          <w:tcPr>
            <w:tcW w:w="1018" w:type="dxa"/>
            <w:tcBorders>
              <w:top w:val="nil"/>
              <w:left w:val="nil"/>
              <w:bottom w:val="nil"/>
              <w:right w:val="nil"/>
            </w:tcBorders>
            <w:shd w:val="clear" w:color="auto" w:fill="auto"/>
            <w:noWrap/>
            <w:vAlign w:val="bottom"/>
            <w:hideMark/>
          </w:tcPr>
          <w:p w14:paraId="1591DB1C"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17.1%</w:t>
            </w:r>
          </w:p>
        </w:tc>
        <w:tc>
          <w:tcPr>
            <w:tcW w:w="1380" w:type="dxa"/>
            <w:tcBorders>
              <w:top w:val="nil"/>
              <w:left w:val="nil"/>
              <w:bottom w:val="nil"/>
              <w:right w:val="nil"/>
            </w:tcBorders>
            <w:shd w:val="clear" w:color="auto" w:fill="auto"/>
            <w:noWrap/>
            <w:vAlign w:val="bottom"/>
            <w:hideMark/>
          </w:tcPr>
          <w:p w14:paraId="178F7ED7"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$774,575</w:t>
            </w:r>
          </w:p>
        </w:tc>
      </w:tr>
      <w:tr w:rsidR="00A11388" w:rsidRPr="00FB1AD8" w14:paraId="5DA8ADEF" w14:textId="77777777" w:rsidTr="003E3A0E">
        <w:trPr>
          <w:trHeight w:val="290"/>
        </w:trPr>
        <w:tc>
          <w:tcPr>
            <w:tcW w:w="1843" w:type="dxa"/>
            <w:tcBorders>
              <w:top w:val="nil"/>
              <w:left w:val="nil"/>
              <w:bottom w:val="nil"/>
              <w:right w:val="nil"/>
            </w:tcBorders>
            <w:shd w:val="clear" w:color="000000" w:fill="F2F2F2"/>
            <w:noWrap/>
            <w:vAlign w:val="bottom"/>
            <w:hideMark/>
          </w:tcPr>
          <w:p w14:paraId="19D7F258"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Invercargill</w:t>
            </w:r>
          </w:p>
        </w:tc>
        <w:tc>
          <w:tcPr>
            <w:tcW w:w="863" w:type="dxa"/>
            <w:tcBorders>
              <w:top w:val="nil"/>
              <w:left w:val="nil"/>
              <w:bottom w:val="nil"/>
              <w:right w:val="nil"/>
            </w:tcBorders>
            <w:shd w:val="clear" w:color="000000" w:fill="F2F2F2"/>
            <w:noWrap/>
            <w:vAlign w:val="bottom"/>
            <w:hideMark/>
          </w:tcPr>
          <w:p w14:paraId="0C78CE7F"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1.6%</w:t>
            </w:r>
          </w:p>
        </w:tc>
        <w:tc>
          <w:tcPr>
            <w:tcW w:w="1136" w:type="dxa"/>
            <w:tcBorders>
              <w:top w:val="nil"/>
              <w:left w:val="nil"/>
              <w:bottom w:val="nil"/>
              <w:right w:val="nil"/>
            </w:tcBorders>
            <w:shd w:val="clear" w:color="000000" w:fill="F2F2F2"/>
            <w:noWrap/>
            <w:vAlign w:val="bottom"/>
            <w:hideMark/>
          </w:tcPr>
          <w:p w14:paraId="11969E47"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4.9%</w:t>
            </w:r>
          </w:p>
        </w:tc>
        <w:tc>
          <w:tcPr>
            <w:tcW w:w="1018" w:type="dxa"/>
            <w:tcBorders>
              <w:top w:val="nil"/>
              <w:left w:val="nil"/>
              <w:bottom w:val="nil"/>
              <w:right w:val="nil"/>
            </w:tcBorders>
            <w:shd w:val="clear" w:color="000000" w:fill="F2F2F2"/>
            <w:noWrap/>
            <w:vAlign w:val="bottom"/>
            <w:hideMark/>
          </w:tcPr>
          <w:p w14:paraId="5A42CFDA"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22.0%</w:t>
            </w:r>
          </w:p>
        </w:tc>
        <w:tc>
          <w:tcPr>
            <w:tcW w:w="1380" w:type="dxa"/>
            <w:tcBorders>
              <w:top w:val="nil"/>
              <w:left w:val="nil"/>
              <w:bottom w:val="nil"/>
              <w:right w:val="nil"/>
            </w:tcBorders>
            <w:shd w:val="clear" w:color="000000" w:fill="F2F2F2"/>
            <w:noWrap/>
            <w:vAlign w:val="bottom"/>
            <w:hideMark/>
          </w:tcPr>
          <w:p w14:paraId="502CB1AA"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$434,263</w:t>
            </w:r>
          </w:p>
        </w:tc>
      </w:tr>
      <w:tr w:rsidR="00A11388" w:rsidRPr="00FB1AD8" w14:paraId="43B1A2AE" w14:textId="77777777" w:rsidTr="003E3A0E">
        <w:trPr>
          <w:trHeight w:val="290"/>
        </w:trPr>
        <w:tc>
          <w:tcPr>
            <w:tcW w:w="1843" w:type="dxa"/>
            <w:tcBorders>
              <w:top w:val="nil"/>
              <w:left w:val="nil"/>
              <w:bottom w:val="nil"/>
              <w:right w:val="nil"/>
            </w:tcBorders>
            <w:shd w:val="clear" w:color="auto" w:fill="auto"/>
            <w:noWrap/>
            <w:vAlign w:val="bottom"/>
            <w:hideMark/>
          </w:tcPr>
          <w:p w14:paraId="2B25883C"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Whangarei</w:t>
            </w:r>
          </w:p>
        </w:tc>
        <w:tc>
          <w:tcPr>
            <w:tcW w:w="863" w:type="dxa"/>
            <w:tcBorders>
              <w:top w:val="nil"/>
              <w:left w:val="nil"/>
              <w:bottom w:val="nil"/>
              <w:right w:val="nil"/>
            </w:tcBorders>
            <w:shd w:val="clear" w:color="auto" w:fill="auto"/>
            <w:noWrap/>
            <w:vAlign w:val="bottom"/>
            <w:hideMark/>
          </w:tcPr>
          <w:p w14:paraId="59E83A8A"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0.2%</w:t>
            </w:r>
          </w:p>
        </w:tc>
        <w:tc>
          <w:tcPr>
            <w:tcW w:w="1136" w:type="dxa"/>
            <w:tcBorders>
              <w:top w:val="nil"/>
              <w:left w:val="nil"/>
              <w:bottom w:val="nil"/>
              <w:right w:val="nil"/>
            </w:tcBorders>
            <w:shd w:val="clear" w:color="auto" w:fill="auto"/>
            <w:noWrap/>
            <w:vAlign w:val="bottom"/>
            <w:hideMark/>
          </w:tcPr>
          <w:p w14:paraId="3D1AAAAE"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6.8%</w:t>
            </w:r>
          </w:p>
        </w:tc>
        <w:tc>
          <w:tcPr>
            <w:tcW w:w="1018" w:type="dxa"/>
            <w:tcBorders>
              <w:top w:val="nil"/>
              <w:left w:val="nil"/>
              <w:bottom w:val="nil"/>
              <w:right w:val="nil"/>
            </w:tcBorders>
            <w:shd w:val="clear" w:color="auto" w:fill="auto"/>
            <w:noWrap/>
            <w:vAlign w:val="bottom"/>
            <w:hideMark/>
          </w:tcPr>
          <w:p w14:paraId="4312BA4A"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24.0%</w:t>
            </w:r>
          </w:p>
        </w:tc>
        <w:tc>
          <w:tcPr>
            <w:tcW w:w="1380" w:type="dxa"/>
            <w:tcBorders>
              <w:top w:val="nil"/>
              <w:left w:val="nil"/>
              <w:bottom w:val="nil"/>
              <w:right w:val="nil"/>
            </w:tcBorders>
            <w:shd w:val="clear" w:color="auto" w:fill="auto"/>
            <w:noWrap/>
            <w:vAlign w:val="bottom"/>
            <w:hideMark/>
          </w:tcPr>
          <w:p w14:paraId="408183FF"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$718,568</w:t>
            </w:r>
          </w:p>
        </w:tc>
      </w:tr>
      <w:tr w:rsidR="00A11388" w:rsidRPr="00FB1AD8" w14:paraId="15717947" w14:textId="77777777" w:rsidTr="003E3A0E">
        <w:trPr>
          <w:trHeight w:val="290"/>
        </w:trPr>
        <w:tc>
          <w:tcPr>
            <w:tcW w:w="1843" w:type="dxa"/>
            <w:tcBorders>
              <w:top w:val="nil"/>
              <w:left w:val="nil"/>
              <w:bottom w:val="nil"/>
              <w:right w:val="nil"/>
            </w:tcBorders>
            <w:shd w:val="clear" w:color="000000" w:fill="F2F2F2"/>
            <w:noWrap/>
            <w:vAlign w:val="bottom"/>
            <w:hideMark/>
          </w:tcPr>
          <w:p w14:paraId="10BACD46"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New Plymouth</w:t>
            </w:r>
          </w:p>
        </w:tc>
        <w:tc>
          <w:tcPr>
            <w:tcW w:w="863" w:type="dxa"/>
            <w:tcBorders>
              <w:top w:val="nil"/>
              <w:left w:val="nil"/>
              <w:bottom w:val="nil"/>
              <w:right w:val="nil"/>
            </w:tcBorders>
            <w:shd w:val="clear" w:color="000000" w:fill="F2F2F2"/>
            <w:noWrap/>
            <w:vAlign w:val="bottom"/>
            <w:hideMark/>
          </w:tcPr>
          <w:p w14:paraId="6961A4A9"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-0.3%</w:t>
            </w:r>
          </w:p>
        </w:tc>
        <w:tc>
          <w:tcPr>
            <w:tcW w:w="1136" w:type="dxa"/>
            <w:tcBorders>
              <w:top w:val="nil"/>
              <w:left w:val="nil"/>
              <w:bottom w:val="nil"/>
              <w:right w:val="nil"/>
            </w:tcBorders>
            <w:shd w:val="clear" w:color="000000" w:fill="F2F2F2"/>
            <w:noWrap/>
            <w:vAlign w:val="bottom"/>
            <w:hideMark/>
          </w:tcPr>
          <w:p w14:paraId="61F6C401"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7.4%</w:t>
            </w:r>
          </w:p>
        </w:tc>
        <w:tc>
          <w:tcPr>
            <w:tcW w:w="1018" w:type="dxa"/>
            <w:tcBorders>
              <w:top w:val="nil"/>
              <w:left w:val="nil"/>
              <w:bottom w:val="nil"/>
              <w:right w:val="nil"/>
            </w:tcBorders>
            <w:shd w:val="clear" w:color="000000" w:fill="F2F2F2"/>
            <w:noWrap/>
            <w:vAlign w:val="bottom"/>
            <w:hideMark/>
          </w:tcPr>
          <w:p w14:paraId="52CA47AF"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24.2%</w:t>
            </w:r>
          </w:p>
        </w:tc>
        <w:tc>
          <w:tcPr>
            <w:tcW w:w="1380" w:type="dxa"/>
            <w:tcBorders>
              <w:top w:val="nil"/>
              <w:left w:val="nil"/>
              <w:bottom w:val="nil"/>
              <w:right w:val="nil"/>
            </w:tcBorders>
            <w:shd w:val="clear" w:color="000000" w:fill="F2F2F2"/>
            <w:noWrap/>
            <w:vAlign w:val="bottom"/>
            <w:hideMark/>
          </w:tcPr>
          <w:p w14:paraId="352CDEF0"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$631,779</w:t>
            </w:r>
          </w:p>
        </w:tc>
      </w:tr>
      <w:tr w:rsidR="00A11388" w:rsidRPr="00FB1AD8" w14:paraId="4BAEDC90" w14:textId="77777777" w:rsidTr="003E3A0E">
        <w:trPr>
          <w:trHeight w:val="290"/>
        </w:trPr>
        <w:tc>
          <w:tcPr>
            <w:tcW w:w="1843" w:type="dxa"/>
            <w:tcBorders>
              <w:top w:val="nil"/>
              <w:left w:val="nil"/>
              <w:bottom w:val="nil"/>
              <w:right w:val="nil"/>
            </w:tcBorders>
            <w:shd w:val="clear" w:color="auto" w:fill="auto"/>
            <w:noWrap/>
            <w:vAlign w:val="bottom"/>
            <w:hideMark/>
          </w:tcPr>
          <w:p w14:paraId="3D465556"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Rotorua</w:t>
            </w:r>
          </w:p>
        </w:tc>
        <w:tc>
          <w:tcPr>
            <w:tcW w:w="863" w:type="dxa"/>
            <w:tcBorders>
              <w:top w:val="nil"/>
              <w:left w:val="nil"/>
              <w:bottom w:val="nil"/>
              <w:right w:val="nil"/>
            </w:tcBorders>
            <w:shd w:val="clear" w:color="auto" w:fill="auto"/>
            <w:noWrap/>
            <w:vAlign w:val="bottom"/>
            <w:hideMark/>
          </w:tcPr>
          <w:p w14:paraId="4E449517"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1.4%</w:t>
            </w:r>
          </w:p>
        </w:tc>
        <w:tc>
          <w:tcPr>
            <w:tcW w:w="1136" w:type="dxa"/>
            <w:tcBorders>
              <w:top w:val="nil"/>
              <w:left w:val="nil"/>
              <w:bottom w:val="nil"/>
              <w:right w:val="nil"/>
            </w:tcBorders>
            <w:shd w:val="clear" w:color="auto" w:fill="auto"/>
            <w:noWrap/>
            <w:vAlign w:val="bottom"/>
            <w:hideMark/>
          </w:tcPr>
          <w:p w14:paraId="38186CD2"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6.9%</w:t>
            </w:r>
          </w:p>
        </w:tc>
        <w:tc>
          <w:tcPr>
            <w:tcW w:w="1018" w:type="dxa"/>
            <w:tcBorders>
              <w:top w:val="nil"/>
              <w:left w:val="nil"/>
              <w:bottom w:val="nil"/>
              <w:right w:val="nil"/>
            </w:tcBorders>
            <w:shd w:val="clear" w:color="auto" w:fill="auto"/>
            <w:noWrap/>
            <w:vAlign w:val="bottom"/>
            <w:hideMark/>
          </w:tcPr>
          <w:p w14:paraId="1C13897C"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29.3%</w:t>
            </w:r>
          </w:p>
        </w:tc>
        <w:tc>
          <w:tcPr>
            <w:tcW w:w="1380" w:type="dxa"/>
            <w:tcBorders>
              <w:top w:val="nil"/>
              <w:left w:val="nil"/>
              <w:bottom w:val="nil"/>
              <w:right w:val="nil"/>
            </w:tcBorders>
            <w:shd w:val="clear" w:color="auto" w:fill="auto"/>
            <w:noWrap/>
            <w:vAlign w:val="bottom"/>
            <w:hideMark/>
          </w:tcPr>
          <w:p w14:paraId="348E21AE"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$672,730</w:t>
            </w:r>
          </w:p>
        </w:tc>
      </w:tr>
      <w:tr w:rsidR="00A11388" w:rsidRPr="00FB1AD8" w14:paraId="183C57B7" w14:textId="77777777" w:rsidTr="003E3A0E">
        <w:trPr>
          <w:trHeight w:val="290"/>
        </w:trPr>
        <w:tc>
          <w:tcPr>
            <w:tcW w:w="1843" w:type="dxa"/>
            <w:tcBorders>
              <w:top w:val="nil"/>
              <w:left w:val="nil"/>
              <w:bottom w:val="nil"/>
              <w:right w:val="nil"/>
            </w:tcBorders>
            <w:shd w:val="clear" w:color="000000" w:fill="F2F2F2"/>
            <w:noWrap/>
            <w:vAlign w:val="bottom"/>
            <w:hideMark/>
          </w:tcPr>
          <w:p w14:paraId="0E505DAD"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Napier</w:t>
            </w:r>
          </w:p>
        </w:tc>
        <w:tc>
          <w:tcPr>
            <w:tcW w:w="863" w:type="dxa"/>
            <w:tcBorders>
              <w:top w:val="nil"/>
              <w:left w:val="nil"/>
              <w:bottom w:val="nil"/>
              <w:right w:val="nil"/>
            </w:tcBorders>
            <w:shd w:val="clear" w:color="000000" w:fill="F2F2F2"/>
            <w:noWrap/>
            <w:vAlign w:val="bottom"/>
            <w:hideMark/>
          </w:tcPr>
          <w:p w14:paraId="3C2675C3"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-0.1%</w:t>
            </w:r>
          </w:p>
        </w:tc>
        <w:tc>
          <w:tcPr>
            <w:tcW w:w="1136" w:type="dxa"/>
            <w:tcBorders>
              <w:top w:val="nil"/>
              <w:left w:val="nil"/>
              <w:bottom w:val="nil"/>
              <w:right w:val="nil"/>
            </w:tcBorders>
            <w:shd w:val="clear" w:color="000000" w:fill="F2F2F2"/>
            <w:noWrap/>
            <w:vAlign w:val="bottom"/>
            <w:hideMark/>
          </w:tcPr>
          <w:p w14:paraId="2A80915C"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7.1%</w:t>
            </w:r>
          </w:p>
        </w:tc>
        <w:tc>
          <w:tcPr>
            <w:tcW w:w="1018" w:type="dxa"/>
            <w:tcBorders>
              <w:top w:val="nil"/>
              <w:left w:val="nil"/>
              <w:bottom w:val="nil"/>
              <w:right w:val="nil"/>
            </w:tcBorders>
            <w:shd w:val="clear" w:color="000000" w:fill="F2F2F2"/>
            <w:noWrap/>
            <w:vAlign w:val="bottom"/>
            <w:hideMark/>
          </w:tcPr>
          <w:p w14:paraId="21552FE5"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29.4%</w:t>
            </w:r>
          </w:p>
        </w:tc>
        <w:tc>
          <w:tcPr>
            <w:tcW w:w="1380" w:type="dxa"/>
            <w:tcBorders>
              <w:top w:val="nil"/>
              <w:left w:val="nil"/>
              <w:bottom w:val="nil"/>
              <w:right w:val="nil"/>
            </w:tcBorders>
            <w:shd w:val="clear" w:color="000000" w:fill="F2F2F2"/>
            <w:noWrap/>
            <w:vAlign w:val="bottom"/>
            <w:hideMark/>
          </w:tcPr>
          <w:p w14:paraId="5C1B23E1"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$795,031</w:t>
            </w:r>
          </w:p>
        </w:tc>
      </w:tr>
      <w:tr w:rsidR="00A11388" w:rsidRPr="00FB1AD8" w14:paraId="247ED1AF" w14:textId="77777777" w:rsidTr="003E3A0E">
        <w:trPr>
          <w:trHeight w:val="290"/>
        </w:trPr>
        <w:tc>
          <w:tcPr>
            <w:tcW w:w="1843" w:type="dxa"/>
            <w:tcBorders>
              <w:top w:val="nil"/>
              <w:left w:val="nil"/>
              <w:bottom w:val="nil"/>
              <w:right w:val="nil"/>
            </w:tcBorders>
            <w:shd w:val="clear" w:color="auto" w:fill="auto"/>
            <w:noWrap/>
            <w:vAlign w:val="bottom"/>
            <w:hideMark/>
          </w:tcPr>
          <w:p w14:paraId="5DFDCD50"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Hastings</w:t>
            </w:r>
          </w:p>
        </w:tc>
        <w:tc>
          <w:tcPr>
            <w:tcW w:w="863" w:type="dxa"/>
            <w:tcBorders>
              <w:top w:val="nil"/>
              <w:left w:val="nil"/>
              <w:bottom w:val="nil"/>
              <w:right w:val="nil"/>
            </w:tcBorders>
            <w:shd w:val="clear" w:color="auto" w:fill="auto"/>
            <w:noWrap/>
            <w:vAlign w:val="bottom"/>
            <w:hideMark/>
          </w:tcPr>
          <w:p w14:paraId="6CBA5AFD"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1.8%</w:t>
            </w:r>
          </w:p>
        </w:tc>
        <w:tc>
          <w:tcPr>
            <w:tcW w:w="1136" w:type="dxa"/>
            <w:tcBorders>
              <w:top w:val="nil"/>
              <w:left w:val="nil"/>
              <w:bottom w:val="nil"/>
              <w:right w:val="nil"/>
            </w:tcBorders>
            <w:shd w:val="clear" w:color="auto" w:fill="auto"/>
            <w:noWrap/>
            <w:vAlign w:val="bottom"/>
            <w:hideMark/>
          </w:tcPr>
          <w:p w14:paraId="44418F73"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8.3%</w:t>
            </w:r>
          </w:p>
        </w:tc>
        <w:tc>
          <w:tcPr>
            <w:tcW w:w="1018" w:type="dxa"/>
            <w:tcBorders>
              <w:top w:val="nil"/>
              <w:left w:val="nil"/>
              <w:bottom w:val="nil"/>
              <w:right w:val="nil"/>
            </w:tcBorders>
            <w:shd w:val="clear" w:color="auto" w:fill="auto"/>
            <w:noWrap/>
            <w:vAlign w:val="bottom"/>
            <w:hideMark/>
          </w:tcPr>
          <w:p w14:paraId="22290C37"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32.5%</w:t>
            </w:r>
          </w:p>
        </w:tc>
        <w:tc>
          <w:tcPr>
            <w:tcW w:w="1380" w:type="dxa"/>
            <w:tcBorders>
              <w:top w:val="nil"/>
              <w:left w:val="nil"/>
              <w:bottom w:val="nil"/>
              <w:right w:val="nil"/>
            </w:tcBorders>
            <w:shd w:val="clear" w:color="auto" w:fill="auto"/>
            <w:noWrap/>
            <w:vAlign w:val="bottom"/>
            <w:hideMark/>
          </w:tcPr>
          <w:p w14:paraId="1BC660DD"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$778,896</w:t>
            </w:r>
          </w:p>
        </w:tc>
      </w:tr>
      <w:tr w:rsidR="00A11388" w:rsidRPr="00FB1AD8" w14:paraId="180469DF" w14:textId="77777777" w:rsidTr="003E3A0E">
        <w:trPr>
          <w:trHeight w:val="290"/>
        </w:trPr>
        <w:tc>
          <w:tcPr>
            <w:tcW w:w="1843" w:type="dxa"/>
            <w:tcBorders>
              <w:top w:val="nil"/>
              <w:left w:val="nil"/>
              <w:bottom w:val="nil"/>
              <w:right w:val="nil"/>
            </w:tcBorders>
            <w:shd w:val="clear" w:color="000000" w:fill="F2F2F2"/>
            <w:noWrap/>
            <w:vAlign w:val="bottom"/>
            <w:hideMark/>
          </w:tcPr>
          <w:p w14:paraId="303EE06C"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Gisborne</w:t>
            </w:r>
          </w:p>
        </w:tc>
        <w:tc>
          <w:tcPr>
            <w:tcW w:w="863" w:type="dxa"/>
            <w:tcBorders>
              <w:top w:val="nil"/>
              <w:left w:val="nil"/>
              <w:bottom w:val="nil"/>
              <w:right w:val="nil"/>
            </w:tcBorders>
            <w:shd w:val="clear" w:color="000000" w:fill="F2F2F2"/>
            <w:noWrap/>
            <w:vAlign w:val="bottom"/>
            <w:hideMark/>
          </w:tcPr>
          <w:p w14:paraId="77344B66"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-0.9%</w:t>
            </w:r>
          </w:p>
        </w:tc>
        <w:tc>
          <w:tcPr>
            <w:tcW w:w="1136" w:type="dxa"/>
            <w:tcBorders>
              <w:top w:val="nil"/>
              <w:left w:val="nil"/>
              <w:bottom w:val="nil"/>
              <w:right w:val="nil"/>
            </w:tcBorders>
            <w:shd w:val="clear" w:color="000000" w:fill="F2F2F2"/>
            <w:noWrap/>
            <w:vAlign w:val="bottom"/>
            <w:hideMark/>
          </w:tcPr>
          <w:p w14:paraId="2C3D82CA"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10.2%</w:t>
            </w:r>
          </w:p>
        </w:tc>
        <w:tc>
          <w:tcPr>
            <w:tcW w:w="1018" w:type="dxa"/>
            <w:tcBorders>
              <w:top w:val="nil"/>
              <w:left w:val="nil"/>
              <w:bottom w:val="nil"/>
              <w:right w:val="nil"/>
            </w:tcBorders>
            <w:shd w:val="clear" w:color="000000" w:fill="F2F2F2"/>
            <w:noWrap/>
            <w:vAlign w:val="bottom"/>
            <w:hideMark/>
          </w:tcPr>
          <w:p w14:paraId="4ECF473D"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35.8%</w:t>
            </w:r>
          </w:p>
        </w:tc>
        <w:tc>
          <w:tcPr>
            <w:tcW w:w="1380" w:type="dxa"/>
            <w:tcBorders>
              <w:top w:val="nil"/>
              <w:left w:val="nil"/>
              <w:bottom w:val="nil"/>
              <w:right w:val="nil"/>
            </w:tcBorders>
            <w:shd w:val="clear" w:color="000000" w:fill="F2F2F2"/>
            <w:noWrap/>
            <w:vAlign w:val="bottom"/>
            <w:hideMark/>
          </w:tcPr>
          <w:p w14:paraId="00ECD06C"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$585,547</w:t>
            </w:r>
          </w:p>
        </w:tc>
      </w:tr>
      <w:tr w:rsidR="00A11388" w:rsidRPr="00FB1AD8" w14:paraId="44D7253D" w14:textId="77777777" w:rsidTr="003E3A0E">
        <w:trPr>
          <w:trHeight w:val="290"/>
        </w:trPr>
        <w:tc>
          <w:tcPr>
            <w:tcW w:w="1843" w:type="dxa"/>
            <w:tcBorders>
              <w:top w:val="nil"/>
              <w:left w:val="nil"/>
              <w:bottom w:val="nil"/>
              <w:right w:val="nil"/>
            </w:tcBorders>
            <w:shd w:val="clear" w:color="auto" w:fill="auto"/>
            <w:noWrap/>
            <w:vAlign w:val="bottom"/>
            <w:hideMark/>
          </w:tcPr>
          <w:p w14:paraId="7C5E510C"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Whanganui</w:t>
            </w:r>
          </w:p>
        </w:tc>
        <w:tc>
          <w:tcPr>
            <w:tcW w:w="863" w:type="dxa"/>
            <w:tcBorders>
              <w:top w:val="nil"/>
              <w:left w:val="nil"/>
              <w:bottom w:val="nil"/>
              <w:right w:val="nil"/>
            </w:tcBorders>
            <w:shd w:val="clear" w:color="auto" w:fill="auto"/>
            <w:noWrap/>
            <w:vAlign w:val="bottom"/>
            <w:hideMark/>
          </w:tcPr>
          <w:p w14:paraId="4958382D"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0.2%</w:t>
            </w:r>
          </w:p>
        </w:tc>
        <w:tc>
          <w:tcPr>
            <w:tcW w:w="1136" w:type="dxa"/>
            <w:tcBorders>
              <w:top w:val="nil"/>
              <w:left w:val="nil"/>
              <w:bottom w:val="nil"/>
              <w:right w:val="nil"/>
            </w:tcBorders>
            <w:shd w:val="clear" w:color="auto" w:fill="auto"/>
            <w:noWrap/>
            <w:vAlign w:val="bottom"/>
            <w:hideMark/>
          </w:tcPr>
          <w:p w14:paraId="586FED7D"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8.7%</w:t>
            </w:r>
          </w:p>
        </w:tc>
        <w:tc>
          <w:tcPr>
            <w:tcW w:w="1018" w:type="dxa"/>
            <w:tcBorders>
              <w:top w:val="nil"/>
              <w:left w:val="nil"/>
              <w:bottom w:val="nil"/>
              <w:right w:val="nil"/>
            </w:tcBorders>
            <w:shd w:val="clear" w:color="auto" w:fill="auto"/>
            <w:noWrap/>
            <w:vAlign w:val="bottom"/>
            <w:hideMark/>
          </w:tcPr>
          <w:p w14:paraId="58F6B7C4"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35.9%</w:t>
            </w:r>
          </w:p>
        </w:tc>
        <w:tc>
          <w:tcPr>
            <w:tcW w:w="1380" w:type="dxa"/>
            <w:tcBorders>
              <w:top w:val="nil"/>
              <w:left w:val="nil"/>
              <w:bottom w:val="nil"/>
              <w:right w:val="nil"/>
            </w:tcBorders>
            <w:shd w:val="clear" w:color="auto" w:fill="auto"/>
            <w:noWrap/>
            <w:vAlign w:val="bottom"/>
            <w:hideMark/>
          </w:tcPr>
          <w:p w14:paraId="0BF4AE80"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$501,392</w:t>
            </w:r>
          </w:p>
        </w:tc>
      </w:tr>
      <w:tr w:rsidR="00A11388" w:rsidRPr="00FB1AD8" w14:paraId="6E8A5AFF" w14:textId="77777777" w:rsidTr="003E3A0E">
        <w:trPr>
          <w:trHeight w:val="290"/>
        </w:trPr>
        <w:tc>
          <w:tcPr>
            <w:tcW w:w="1843" w:type="dxa"/>
            <w:tcBorders>
              <w:top w:val="nil"/>
              <w:left w:val="nil"/>
              <w:bottom w:val="nil"/>
              <w:right w:val="nil"/>
            </w:tcBorders>
            <w:shd w:val="clear" w:color="000000" w:fill="F2F2F2"/>
            <w:noWrap/>
            <w:vAlign w:val="bottom"/>
            <w:hideMark/>
          </w:tcPr>
          <w:p w14:paraId="0CBC6C9B"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Kapiti Coast</w:t>
            </w:r>
          </w:p>
        </w:tc>
        <w:tc>
          <w:tcPr>
            <w:tcW w:w="863" w:type="dxa"/>
            <w:tcBorders>
              <w:top w:val="nil"/>
              <w:left w:val="nil"/>
              <w:bottom w:val="nil"/>
              <w:right w:val="nil"/>
            </w:tcBorders>
            <w:shd w:val="clear" w:color="000000" w:fill="F2F2F2"/>
            <w:noWrap/>
            <w:vAlign w:val="bottom"/>
            <w:hideMark/>
          </w:tcPr>
          <w:p w14:paraId="339F28D0"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1.3%</w:t>
            </w:r>
          </w:p>
        </w:tc>
        <w:tc>
          <w:tcPr>
            <w:tcW w:w="1136" w:type="dxa"/>
            <w:tcBorders>
              <w:top w:val="nil"/>
              <w:left w:val="nil"/>
              <w:bottom w:val="nil"/>
              <w:right w:val="nil"/>
            </w:tcBorders>
            <w:shd w:val="clear" w:color="000000" w:fill="F2F2F2"/>
            <w:noWrap/>
            <w:vAlign w:val="bottom"/>
            <w:hideMark/>
          </w:tcPr>
          <w:p w14:paraId="7BED775F"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10.6%</w:t>
            </w:r>
          </w:p>
        </w:tc>
        <w:tc>
          <w:tcPr>
            <w:tcW w:w="1018" w:type="dxa"/>
            <w:tcBorders>
              <w:top w:val="nil"/>
              <w:left w:val="nil"/>
              <w:bottom w:val="nil"/>
              <w:right w:val="nil"/>
            </w:tcBorders>
            <w:shd w:val="clear" w:color="000000" w:fill="F2F2F2"/>
            <w:noWrap/>
            <w:vAlign w:val="bottom"/>
            <w:hideMark/>
          </w:tcPr>
          <w:p w14:paraId="6009601C"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36.3%</w:t>
            </w:r>
          </w:p>
        </w:tc>
        <w:tc>
          <w:tcPr>
            <w:tcW w:w="1380" w:type="dxa"/>
            <w:tcBorders>
              <w:top w:val="nil"/>
              <w:left w:val="nil"/>
              <w:bottom w:val="nil"/>
              <w:right w:val="nil"/>
            </w:tcBorders>
            <w:shd w:val="clear" w:color="000000" w:fill="F2F2F2"/>
            <w:noWrap/>
            <w:vAlign w:val="bottom"/>
            <w:hideMark/>
          </w:tcPr>
          <w:p w14:paraId="62B901E3"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$912,784</w:t>
            </w:r>
          </w:p>
        </w:tc>
      </w:tr>
      <w:tr w:rsidR="00A11388" w:rsidRPr="00FB1AD8" w14:paraId="24F56B71" w14:textId="77777777" w:rsidTr="003E3A0E">
        <w:trPr>
          <w:trHeight w:val="290"/>
        </w:trPr>
        <w:tc>
          <w:tcPr>
            <w:tcW w:w="1843" w:type="dxa"/>
            <w:tcBorders>
              <w:top w:val="nil"/>
              <w:left w:val="nil"/>
              <w:bottom w:val="nil"/>
              <w:right w:val="nil"/>
            </w:tcBorders>
            <w:shd w:val="clear" w:color="auto" w:fill="auto"/>
            <w:noWrap/>
            <w:vAlign w:val="bottom"/>
            <w:hideMark/>
          </w:tcPr>
          <w:p w14:paraId="4CD1DA4D" w14:textId="77777777" w:rsidR="00A11388" w:rsidRPr="00FB1AD8" w:rsidRDefault="00A11388" w:rsidP="003E3A0E">
            <w:pPr>
              <w:rPr>
                <w:rFonts w:eastAsia="Times New Roman"/>
                <w:color w:val="000000"/>
                <w:lang w:eastAsia="en-AU"/>
              </w:rPr>
            </w:pPr>
            <w:r w:rsidRPr="00FB1AD8">
              <w:rPr>
                <w:rFonts w:eastAsia="Times New Roman"/>
                <w:color w:val="000000"/>
                <w:lang w:eastAsia="en-AU"/>
              </w:rPr>
              <w:t>Palmerston North</w:t>
            </w:r>
          </w:p>
        </w:tc>
        <w:tc>
          <w:tcPr>
            <w:tcW w:w="863" w:type="dxa"/>
            <w:tcBorders>
              <w:top w:val="nil"/>
              <w:left w:val="nil"/>
              <w:bottom w:val="nil"/>
              <w:right w:val="nil"/>
            </w:tcBorders>
            <w:shd w:val="clear" w:color="auto" w:fill="auto"/>
            <w:noWrap/>
            <w:vAlign w:val="bottom"/>
            <w:hideMark/>
          </w:tcPr>
          <w:p w14:paraId="29B0AAF1"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3.0%</w:t>
            </w:r>
          </w:p>
        </w:tc>
        <w:tc>
          <w:tcPr>
            <w:tcW w:w="1136" w:type="dxa"/>
            <w:tcBorders>
              <w:top w:val="nil"/>
              <w:left w:val="nil"/>
              <w:bottom w:val="nil"/>
              <w:right w:val="nil"/>
            </w:tcBorders>
            <w:shd w:val="clear" w:color="auto" w:fill="auto"/>
            <w:noWrap/>
            <w:vAlign w:val="bottom"/>
            <w:hideMark/>
          </w:tcPr>
          <w:p w14:paraId="799AB9C3"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11.4%</w:t>
            </w:r>
          </w:p>
        </w:tc>
        <w:tc>
          <w:tcPr>
            <w:tcW w:w="1018" w:type="dxa"/>
            <w:tcBorders>
              <w:top w:val="nil"/>
              <w:left w:val="nil"/>
              <w:bottom w:val="nil"/>
              <w:right w:val="nil"/>
            </w:tcBorders>
            <w:shd w:val="clear" w:color="auto" w:fill="auto"/>
            <w:noWrap/>
            <w:vAlign w:val="bottom"/>
            <w:hideMark/>
          </w:tcPr>
          <w:p w14:paraId="3FD5625B"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38.6%</w:t>
            </w:r>
          </w:p>
        </w:tc>
        <w:tc>
          <w:tcPr>
            <w:tcW w:w="1380" w:type="dxa"/>
            <w:tcBorders>
              <w:top w:val="nil"/>
              <w:left w:val="nil"/>
              <w:bottom w:val="nil"/>
              <w:right w:val="nil"/>
            </w:tcBorders>
            <w:shd w:val="clear" w:color="auto" w:fill="auto"/>
            <w:noWrap/>
            <w:vAlign w:val="bottom"/>
            <w:hideMark/>
          </w:tcPr>
          <w:p w14:paraId="782B01EA" w14:textId="77777777" w:rsidR="00A11388" w:rsidRPr="00FB1AD8" w:rsidRDefault="00A11388" w:rsidP="003E3A0E">
            <w:pPr>
              <w:jc w:val="right"/>
              <w:rPr>
                <w:rFonts w:eastAsia="Times New Roman"/>
                <w:color w:val="000000"/>
                <w:lang w:eastAsia="en-AU"/>
              </w:rPr>
            </w:pPr>
            <w:r w:rsidRPr="00FB1AD8">
              <w:rPr>
                <w:rFonts w:eastAsia="Times New Roman"/>
                <w:color w:val="000000"/>
                <w:lang w:eastAsia="en-AU"/>
              </w:rPr>
              <w:t>$705,306</w:t>
            </w:r>
          </w:p>
        </w:tc>
      </w:tr>
    </w:tbl>
    <w:p w14:paraId="12781041" w14:textId="3D2D4DCC" w:rsidR="00A277E3" w:rsidRPr="00772B61" w:rsidRDefault="00A277E3" w:rsidP="00A277E3">
      <w:pPr>
        <w:spacing w:before="240" w:after="0" w:line="276" w:lineRule="auto"/>
        <w:rPr>
          <w:rFonts w:cstheme="minorHAnsi"/>
          <w:i/>
          <w:sz w:val="24"/>
          <w:szCs w:val="24"/>
          <w:lang w:val="en-US"/>
        </w:rPr>
      </w:pPr>
      <w:r w:rsidRPr="00772B61">
        <w:rPr>
          <w:rFonts w:cstheme="minorHAnsi"/>
          <w:i/>
          <w:sz w:val="24"/>
          <w:szCs w:val="24"/>
          <w:lang w:val="en-US"/>
        </w:rPr>
        <w:lastRenderedPageBreak/>
        <w:t>Note:</w:t>
      </w:r>
    </w:p>
    <w:p w14:paraId="231437BA" w14:textId="77777777" w:rsidR="00A277E3" w:rsidRPr="00772B61" w:rsidRDefault="00A277E3" w:rsidP="00A277E3">
      <w:pPr>
        <w:spacing w:before="240" w:after="0" w:line="276" w:lineRule="auto"/>
        <w:rPr>
          <w:rFonts w:cstheme="minorHAnsi"/>
          <w:i/>
          <w:sz w:val="24"/>
          <w:szCs w:val="24"/>
          <w:lang w:val="en-US"/>
        </w:rPr>
      </w:pPr>
      <w:r w:rsidRPr="00772B61">
        <w:rPr>
          <w:rFonts w:cstheme="minorHAnsi"/>
          <w:i/>
          <w:sz w:val="24"/>
          <w:szCs w:val="24"/>
          <w:lang w:val="en-US"/>
        </w:rPr>
        <w:t xml:space="preserve">The CoreLogic HPI uses a rolling </w:t>
      </w:r>
      <w:proofErr w:type="gramStart"/>
      <w:r w:rsidRPr="00772B61">
        <w:rPr>
          <w:rFonts w:cstheme="minorHAnsi"/>
          <w:i/>
          <w:sz w:val="24"/>
          <w:szCs w:val="24"/>
          <w:lang w:val="en-US"/>
        </w:rPr>
        <w:t>three month</w:t>
      </w:r>
      <w:proofErr w:type="gramEnd"/>
      <w:r w:rsidRPr="00772B61">
        <w:rPr>
          <w:rFonts w:cstheme="minorHAnsi"/>
          <w:i/>
          <w:sz w:val="24"/>
          <w:szCs w:val="24"/>
          <w:lang w:val="en-US"/>
        </w:rPr>
        <w:t xml:space="preserve"> collection of sales data. This has always been the case and ensures a large sample of sales data is used to measure value change over time. This does mean the measure can be less reactive to recent market movements but offers a smooth trend over time. However, due to having agent and non-agent sales included, the index provides the most comprehensive measure of property value change over the longer term.</w:t>
      </w:r>
    </w:p>
    <w:p w14:paraId="59AAA832" w14:textId="77777777" w:rsidR="00A277E3" w:rsidRPr="00E00130" w:rsidRDefault="00A277E3" w:rsidP="00A277E3">
      <w:pPr>
        <w:spacing w:before="240" w:after="0" w:line="276" w:lineRule="auto"/>
        <w:jc w:val="center"/>
        <w:rPr>
          <w:rFonts w:cstheme="minorHAnsi"/>
          <w:sz w:val="24"/>
          <w:szCs w:val="24"/>
        </w:rPr>
      </w:pPr>
      <w:r w:rsidRPr="00E00130">
        <w:rPr>
          <w:rFonts w:cstheme="minorHAnsi"/>
          <w:sz w:val="24"/>
          <w:szCs w:val="24"/>
        </w:rPr>
        <w:t>###</w:t>
      </w:r>
    </w:p>
    <w:p w14:paraId="348F4C23" w14:textId="77777777" w:rsidR="00A277E3" w:rsidRPr="00E00130" w:rsidRDefault="00A277E3" w:rsidP="00A277E3">
      <w:pPr>
        <w:pBdr>
          <w:top w:val="nil"/>
          <w:left w:val="nil"/>
          <w:bottom w:val="nil"/>
          <w:right w:val="nil"/>
          <w:between w:val="nil"/>
        </w:pBdr>
        <w:spacing w:before="240" w:after="0" w:line="276" w:lineRule="auto"/>
        <w:rPr>
          <w:rFonts w:eastAsia="Arial" w:cstheme="minorHAnsi"/>
          <w:b/>
          <w:color w:val="000000"/>
          <w:sz w:val="24"/>
          <w:szCs w:val="24"/>
          <w:lang w:eastAsia="en-NZ"/>
        </w:rPr>
      </w:pPr>
      <w:r w:rsidRPr="00E00130">
        <w:rPr>
          <w:rFonts w:eastAsia="Arial" w:cstheme="minorHAnsi"/>
          <w:b/>
          <w:color w:val="000000"/>
          <w:sz w:val="24"/>
          <w:szCs w:val="24"/>
          <w:lang w:eastAsia="en-NZ"/>
        </w:rPr>
        <w:t>For more information:</w:t>
      </w:r>
    </w:p>
    <w:tbl>
      <w:tblPr>
        <w:tblStyle w:val="1"/>
        <w:tblW w:w="4680" w:type="dxa"/>
        <w:tblBorders>
          <w:top w:val="single" w:sz="4" w:space="0" w:color="000000"/>
          <w:left w:val="single" w:sz="4" w:space="0" w:color="000000"/>
          <w:bottom w:val="single" w:sz="4" w:space="0" w:color="000000"/>
          <w:right w:val="single" w:sz="4" w:space="0" w:color="000000"/>
        </w:tblBorders>
        <w:tblLayout w:type="fixed"/>
        <w:tblCellMar>
          <w:top w:w="0" w:type="dxa"/>
          <w:bottom w:w="0" w:type="dxa"/>
        </w:tblCellMar>
        <w:tblLook w:val="0400" w:firstRow="0" w:lastRow="0" w:firstColumn="0" w:lastColumn="0" w:noHBand="0" w:noVBand="1"/>
      </w:tblPr>
      <w:tblGrid>
        <w:gridCol w:w="4680"/>
      </w:tblGrid>
      <w:tr w:rsidR="00A277E3" w:rsidRPr="00E00130" w14:paraId="7FECDED7" w14:textId="77777777" w:rsidTr="00F44690">
        <w:trPr>
          <w:trHeight w:val="1320"/>
        </w:trPr>
        <w:tc>
          <w:tcPr>
            <w:tcW w:w="467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14:paraId="7868B899" w14:textId="77777777" w:rsidR="00A277E3" w:rsidRPr="00E00130" w:rsidRDefault="00A277E3" w:rsidP="00F44690">
            <w:pPr>
              <w:spacing w:after="0" w:line="240" w:lineRule="auto"/>
              <w:rPr>
                <w:rFonts w:eastAsia="Arial" w:cstheme="minorHAnsi"/>
                <w:sz w:val="24"/>
                <w:szCs w:val="24"/>
              </w:rPr>
            </w:pPr>
            <w:bookmarkStart w:id="0" w:name="_Hlk58591390"/>
            <w:r w:rsidRPr="00E00130">
              <w:rPr>
                <w:rFonts w:eastAsia="Arial" w:cstheme="minorHAnsi"/>
                <w:sz w:val="24"/>
                <w:szCs w:val="24"/>
              </w:rPr>
              <w:t>Jemma Crook</w:t>
            </w:r>
          </w:p>
          <w:bookmarkEnd w:id="0"/>
          <w:p w14:paraId="647ECD46" w14:textId="77777777" w:rsidR="00A277E3" w:rsidRPr="00E00130" w:rsidRDefault="00A277E3" w:rsidP="00F44690">
            <w:pPr>
              <w:spacing w:after="0" w:line="240" w:lineRule="auto"/>
              <w:rPr>
                <w:rFonts w:eastAsia="Arial" w:cstheme="minorHAnsi"/>
                <w:sz w:val="24"/>
                <w:szCs w:val="24"/>
              </w:rPr>
            </w:pPr>
            <w:r w:rsidRPr="00E00130">
              <w:rPr>
                <w:rFonts w:eastAsia="Arial" w:cstheme="minorHAnsi"/>
                <w:sz w:val="24"/>
                <w:szCs w:val="24"/>
              </w:rPr>
              <w:t>Alexander PR</w:t>
            </w:r>
          </w:p>
          <w:p w14:paraId="6F95F4D5" w14:textId="77777777" w:rsidR="00A277E3" w:rsidRPr="00E00130" w:rsidRDefault="00A277E3" w:rsidP="00F44690">
            <w:pPr>
              <w:spacing w:after="0" w:line="240" w:lineRule="auto"/>
              <w:rPr>
                <w:rFonts w:eastAsia="MS Mincho" w:cstheme="minorHAnsi"/>
                <w:kern w:val="2"/>
                <w:sz w:val="24"/>
                <w:szCs w:val="24"/>
                <w:lang w:eastAsia="en-GB"/>
              </w:rPr>
            </w:pPr>
            <w:r w:rsidRPr="00E00130">
              <w:rPr>
                <w:rFonts w:eastAsia="Arial" w:cstheme="minorHAnsi"/>
                <w:sz w:val="24"/>
                <w:szCs w:val="24"/>
              </w:rPr>
              <w:t>+64 (0)</w:t>
            </w:r>
            <w:r w:rsidRPr="00E00130">
              <w:rPr>
                <w:rFonts w:eastAsia="MS Mincho" w:cstheme="minorHAnsi"/>
                <w:kern w:val="2"/>
                <w:sz w:val="24"/>
                <w:szCs w:val="24"/>
                <w:lang w:eastAsia="en-GB"/>
              </w:rPr>
              <w:t>21 271 3318</w:t>
            </w:r>
          </w:p>
          <w:p w14:paraId="66DE79A0" w14:textId="77777777" w:rsidR="00A277E3" w:rsidRPr="00E00130" w:rsidRDefault="002648BE" w:rsidP="00F44690">
            <w:pPr>
              <w:spacing w:after="0" w:line="240" w:lineRule="auto"/>
              <w:rPr>
                <w:rFonts w:eastAsia="Arial" w:cstheme="minorHAnsi"/>
                <w:sz w:val="24"/>
                <w:szCs w:val="24"/>
              </w:rPr>
            </w:pPr>
            <w:hyperlink r:id="rId8" w:history="1">
              <w:r w:rsidR="00A277E3" w:rsidRPr="00E00130">
                <w:rPr>
                  <w:rStyle w:val="Hyperlink"/>
                  <w:rFonts w:eastAsia="Arial" w:cstheme="minorHAnsi"/>
                  <w:sz w:val="24"/>
                  <w:szCs w:val="24"/>
                </w:rPr>
                <w:t>jemma@alexanderpr.co.nz</w:t>
              </w:r>
            </w:hyperlink>
            <w:r w:rsidR="00A277E3" w:rsidRPr="00E00130">
              <w:rPr>
                <w:rFonts w:eastAsia="Arial" w:cstheme="minorHAnsi"/>
                <w:color w:val="0000FF"/>
                <w:sz w:val="24"/>
                <w:szCs w:val="24"/>
                <w:u w:val="single"/>
              </w:rPr>
              <w:t xml:space="preserve"> </w:t>
            </w:r>
          </w:p>
        </w:tc>
      </w:tr>
    </w:tbl>
    <w:p w14:paraId="3D2DD7A4" w14:textId="77777777" w:rsidR="00A277E3" w:rsidRPr="00A277E3" w:rsidRDefault="00A277E3" w:rsidP="00A277E3">
      <w:pPr>
        <w:pStyle w:val="Heading1"/>
        <w:keepLines/>
        <w:spacing w:after="0" w:line="276" w:lineRule="auto"/>
        <w:rPr>
          <w:rFonts w:asciiTheme="minorHAnsi" w:eastAsiaTheme="majorEastAsia" w:hAnsiTheme="minorHAnsi" w:cstheme="minorHAnsi"/>
          <w:color w:val="2E74B5" w:themeColor="accent1" w:themeShade="BF"/>
          <w:kern w:val="0"/>
          <w:sz w:val="22"/>
          <w:szCs w:val="22"/>
        </w:rPr>
      </w:pPr>
      <w:r w:rsidRPr="00A277E3">
        <w:rPr>
          <w:rFonts w:asciiTheme="minorHAnsi" w:eastAsiaTheme="majorEastAsia" w:hAnsiTheme="minorHAnsi" w:cstheme="minorHAnsi"/>
          <w:kern w:val="0"/>
          <w:sz w:val="22"/>
          <w:szCs w:val="22"/>
        </w:rPr>
        <w:t>About CoreLogic</w:t>
      </w:r>
    </w:p>
    <w:p w14:paraId="0957D37A" w14:textId="4ED248F3" w:rsidR="00DA700E" w:rsidRPr="00A277E3" w:rsidRDefault="00DA700E" w:rsidP="00E60616">
      <w:pPr>
        <w:pStyle w:val="NormalWeb"/>
        <w:shd w:val="clear" w:color="auto" w:fill="FFFFFF"/>
        <w:spacing w:before="240" w:beforeAutospacing="0" w:after="0" w:afterAutospacing="0" w:line="276" w:lineRule="auto"/>
        <w:rPr>
          <w:rFonts w:asciiTheme="minorHAnsi" w:eastAsia="Calibri" w:hAnsiTheme="minorHAnsi" w:cstheme="minorHAnsi"/>
          <w:sz w:val="22"/>
          <w:szCs w:val="22"/>
          <w:lang w:eastAsia="en-US"/>
        </w:rPr>
      </w:pPr>
      <w:r w:rsidRPr="00A277E3">
        <w:rPr>
          <w:rFonts w:asciiTheme="minorHAnsi" w:eastAsia="Calibri" w:hAnsiTheme="minorHAnsi" w:cstheme="minorHAnsi"/>
          <w:color w:val="000000" w:themeColor="text1"/>
          <w:sz w:val="22"/>
          <w:szCs w:val="22"/>
          <w:lang w:eastAsia="en-US"/>
        </w:rPr>
        <w:t xml:space="preserve">CoreLogic New Zealand has 45 staff across Auckland and Wellington and is part of the wider international CoreLogic business which has offices in Australia, the United </w:t>
      </w:r>
      <w:proofErr w:type="gramStart"/>
      <w:r w:rsidRPr="00A277E3">
        <w:rPr>
          <w:rFonts w:asciiTheme="minorHAnsi" w:eastAsia="Calibri" w:hAnsiTheme="minorHAnsi" w:cstheme="minorHAnsi"/>
          <w:color w:val="000000" w:themeColor="text1"/>
          <w:sz w:val="22"/>
          <w:szCs w:val="22"/>
          <w:lang w:eastAsia="en-US"/>
        </w:rPr>
        <w:t>States</w:t>
      </w:r>
      <w:proofErr w:type="gramEnd"/>
      <w:r w:rsidRPr="00A277E3">
        <w:rPr>
          <w:rFonts w:asciiTheme="minorHAnsi" w:eastAsia="Calibri" w:hAnsiTheme="minorHAnsi" w:cstheme="minorHAnsi"/>
          <w:color w:val="000000" w:themeColor="text1"/>
          <w:sz w:val="22"/>
          <w:szCs w:val="22"/>
          <w:lang w:eastAsia="en-US"/>
        </w:rPr>
        <w:t xml:space="preserve"> and the United Kingdom. CoreLogic is the world leader in property analytics and with its established base in New Zealand it is </w:t>
      </w:r>
      <w:r w:rsidRPr="00A277E3">
        <w:rPr>
          <w:rFonts w:asciiTheme="minorHAnsi" w:hAnsiTheme="minorHAnsi" w:cstheme="minorHAnsi"/>
          <w:color w:val="000000" w:themeColor="text1"/>
          <w:sz w:val="22"/>
          <w:szCs w:val="22"/>
          <w:shd w:val="clear" w:color="auto" w:fill="FFFFFF"/>
        </w:rPr>
        <w:t xml:space="preserve">the largest provider of property information, </w:t>
      </w:r>
      <w:proofErr w:type="gramStart"/>
      <w:r w:rsidRPr="00A277E3">
        <w:rPr>
          <w:rFonts w:asciiTheme="minorHAnsi" w:hAnsiTheme="minorHAnsi" w:cstheme="minorHAnsi"/>
          <w:color w:val="000000" w:themeColor="text1"/>
          <w:sz w:val="22"/>
          <w:szCs w:val="22"/>
          <w:shd w:val="clear" w:color="auto" w:fill="FFFFFF"/>
        </w:rPr>
        <w:t>analytics</w:t>
      </w:r>
      <w:proofErr w:type="gramEnd"/>
      <w:r w:rsidRPr="00A277E3">
        <w:rPr>
          <w:rFonts w:asciiTheme="minorHAnsi" w:hAnsiTheme="minorHAnsi" w:cstheme="minorHAnsi"/>
          <w:color w:val="000000" w:themeColor="text1"/>
          <w:sz w:val="22"/>
          <w:szCs w:val="22"/>
          <w:shd w:val="clear" w:color="auto" w:fill="FFFFFF"/>
        </w:rPr>
        <w:t xml:space="preserve"> and property-related risk management services in Australasia. </w:t>
      </w:r>
      <w:r w:rsidRPr="00A277E3">
        <w:rPr>
          <w:rFonts w:asciiTheme="minorHAnsi" w:eastAsia="Calibri" w:hAnsiTheme="minorHAnsi" w:cstheme="minorHAnsi"/>
          <w:color w:val="000000" w:themeColor="text1"/>
          <w:sz w:val="22"/>
          <w:szCs w:val="22"/>
          <w:lang w:eastAsia="en-US"/>
        </w:rPr>
        <w:t xml:space="preserve">With coverage of 99% of the New Zealand property market and more than 500 million decision points in its database, </w:t>
      </w:r>
      <w:r w:rsidRPr="00A277E3">
        <w:rPr>
          <w:rFonts w:asciiTheme="minorHAnsi" w:eastAsia="Calibri" w:hAnsiTheme="minorHAnsi" w:cstheme="minorHAnsi"/>
          <w:sz w:val="22"/>
          <w:szCs w:val="22"/>
          <w:lang w:eastAsia="en-US"/>
        </w:rPr>
        <w:t xml:space="preserve">CoreLogic connects the property ecosystem with data accuracy which allows the company to deliver on its promise of the most reliable and powerful property insights and analytics. </w:t>
      </w:r>
    </w:p>
    <w:p w14:paraId="29C04E65" w14:textId="7445672B" w:rsidR="00DA700E" w:rsidRPr="00A277E3" w:rsidRDefault="00DA700E" w:rsidP="00E60616">
      <w:pPr>
        <w:pStyle w:val="NormalWeb"/>
        <w:shd w:val="clear" w:color="auto" w:fill="FFFFFF"/>
        <w:spacing w:before="240" w:beforeAutospacing="0" w:after="0" w:afterAutospacing="0" w:line="276" w:lineRule="auto"/>
        <w:rPr>
          <w:rFonts w:asciiTheme="minorHAnsi" w:eastAsia="Calibri" w:hAnsiTheme="minorHAnsi" w:cstheme="minorHAnsi"/>
          <w:sz w:val="22"/>
          <w:szCs w:val="22"/>
          <w:lang w:eastAsia="en-US"/>
        </w:rPr>
      </w:pPr>
      <w:r w:rsidRPr="00A277E3">
        <w:rPr>
          <w:rFonts w:asciiTheme="minorHAnsi" w:eastAsia="Calibri" w:hAnsiTheme="minorHAnsi" w:cstheme="minorHAnsi"/>
          <w:sz w:val="22"/>
          <w:szCs w:val="22"/>
          <w:lang w:eastAsia="en-US"/>
        </w:rPr>
        <w:t xml:space="preserve">CoreLogic supports property professionals, banking and finance institutions and advisers, government, corporates (including insurance, telecommunications and utilities, and e-commerce) and professional services providers (from lawyers and conveyancers to construction industry businesses) with products, reports, data, </w:t>
      </w:r>
      <w:proofErr w:type="gramStart"/>
      <w:r w:rsidRPr="00A277E3">
        <w:rPr>
          <w:rFonts w:asciiTheme="minorHAnsi" w:eastAsia="Calibri" w:hAnsiTheme="minorHAnsi" w:cstheme="minorHAnsi"/>
          <w:sz w:val="22"/>
          <w:szCs w:val="22"/>
          <w:lang w:eastAsia="en-US"/>
        </w:rPr>
        <w:t>analysis</w:t>
      </w:r>
      <w:proofErr w:type="gramEnd"/>
      <w:r w:rsidRPr="00A277E3">
        <w:rPr>
          <w:rFonts w:asciiTheme="minorHAnsi" w:eastAsia="Calibri" w:hAnsiTheme="minorHAnsi" w:cstheme="minorHAnsi"/>
          <w:sz w:val="22"/>
          <w:szCs w:val="22"/>
          <w:lang w:eastAsia="en-US"/>
        </w:rPr>
        <w:t xml:space="preserve"> and other resources that better inform everyone with a stake in the New Zealand property sector. Its data and insights are regularly presented to government agencies helping to inform policy making. Its addressing data is best in the market and is trusted by New Zealand Emergency Services with more than 2.3 million fully verified, primary in use physical addresses, and thousands of weekly updates from dozens of sources, verified by its in-house data maintenance team.</w:t>
      </w:r>
    </w:p>
    <w:p w14:paraId="0AB511B8" w14:textId="2593D51C" w:rsidR="00DA700E" w:rsidRPr="00A277E3" w:rsidRDefault="00DA700E" w:rsidP="00E60616">
      <w:pPr>
        <w:pStyle w:val="NormalWeb"/>
        <w:shd w:val="clear" w:color="auto" w:fill="FFFFFF"/>
        <w:spacing w:before="240" w:beforeAutospacing="0" w:after="0" w:afterAutospacing="0" w:line="276" w:lineRule="auto"/>
        <w:rPr>
          <w:rFonts w:asciiTheme="minorHAnsi" w:eastAsia="Calibri" w:hAnsiTheme="minorHAnsi" w:cstheme="minorHAnsi"/>
          <w:sz w:val="22"/>
          <w:szCs w:val="22"/>
          <w:lang w:eastAsia="en-US"/>
        </w:rPr>
      </w:pPr>
      <w:r w:rsidRPr="00A277E3">
        <w:rPr>
          <w:rFonts w:asciiTheme="minorHAnsi" w:eastAsia="Calibri" w:hAnsiTheme="minorHAnsi" w:cstheme="minorHAnsi"/>
          <w:color w:val="000000" w:themeColor="text1"/>
          <w:sz w:val="22"/>
          <w:szCs w:val="22"/>
          <w:lang w:eastAsia="en-US"/>
        </w:rPr>
        <w:t xml:space="preserve">CoreLogic New Zealand was established in 2014 following the merger of two companies that had strong foundations in the New Zealand property industry – </w:t>
      </w:r>
      <w:proofErr w:type="spellStart"/>
      <w:r w:rsidRPr="00A277E3">
        <w:rPr>
          <w:rFonts w:asciiTheme="minorHAnsi" w:eastAsia="Calibri" w:hAnsiTheme="minorHAnsi" w:cstheme="minorHAnsi"/>
          <w:color w:val="000000" w:themeColor="text1"/>
          <w:sz w:val="22"/>
          <w:szCs w:val="22"/>
          <w:lang w:eastAsia="en-US"/>
        </w:rPr>
        <w:t>Terralink</w:t>
      </w:r>
      <w:proofErr w:type="spellEnd"/>
      <w:r w:rsidRPr="00A277E3">
        <w:rPr>
          <w:rFonts w:asciiTheme="minorHAnsi" w:eastAsia="Calibri" w:hAnsiTheme="minorHAnsi" w:cstheme="minorHAnsi"/>
          <w:color w:val="000000" w:themeColor="text1"/>
          <w:sz w:val="22"/>
          <w:szCs w:val="22"/>
          <w:lang w:eastAsia="en-US"/>
        </w:rPr>
        <w:t xml:space="preserve"> Ltd and </w:t>
      </w:r>
      <w:proofErr w:type="spellStart"/>
      <w:r w:rsidRPr="00A277E3">
        <w:rPr>
          <w:rFonts w:asciiTheme="minorHAnsi" w:eastAsia="Calibri" w:hAnsiTheme="minorHAnsi" w:cstheme="minorHAnsi"/>
          <w:color w:val="000000" w:themeColor="text1"/>
          <w:sz w:val="22"/>
          <w:szCs w:val="22"/>
          <w:lang w:eastAsia="en-US"/>
        </w:rPr>
        <w:t>PropertyIQ</w:t>
      </w:r>
      <w:proofErr w:type="spellEnd"/>
      <w:r w:rsidRPr="00A277E3">
        <w:rPr>
          <w:rFonts w:asciiTheme="minorHAnsi" w:eastAsia="Calibri" w:hAnsiTheme="minorHAnsi" w:cstheme="minorHAnsi"/>
          <w:color w:val="000000" w:themeColor="text1"/>
          <w:sz w:val="22"/>
          <w:szCs w:val="22"/>
          <w:lang w:eastAsia="en-US"/>
        </w:rPr>
        <w:t xml:space="preserve"> NZ Ltd. </w:t>
      </w:r>
    </w:p>
    <w:p w14:paraId="5F756827" w14:textId="336349A5" w:rsidR="00DA700E" w:rsidRPr="00A277E3" w:rsidRDefault="00DA700E" w:rsidP="00E60616">
      <w:pPr>
        <w:pStyle w:val="NormalWeb"/>
        <w:shd w:val="clear" w:color="auto" w:fill="FFFFFF"/>
        <w:spacing w:before="240" w:beforeAutospacing="0" w:after="0" w:afterAutospacing="0" w:line="276" w:lineRule="auto"/>
        <w:rPr>
          <w:rFonts w:asciiTheme="minorHAnsi" w:eastAsia="Calibri" w:hAnsiTheme="minorHAnsi" w:cstheme="minorHAnsi"/>
          <w:sz w:val="22"/>
          <w:szCs w:val="22"/>
          <w:lang w:eastAsia="en-US"/>
        </w:rPr>
      </w:pPr>
      <w:r w:rsidRPr="00A277E3">
        <w:rPr>
          <w:rFonts w:asciiTheme="minorHAnsi" w:eastAsia="Calibri" w:hAnsiTheme="minorHAnsi" w:cstheme="minorHAnsi"/>
          <w:sz w:val="22"/>
          <w:szCs w:val="22"/>
          <w:lang w:eastAsia="en-US"/>
        </w:rPr>
        <w:t xml:space="preserve">The </w:t>
      </w:r>
      <w:hyperlink r:id="rId9" w:anchor=".XxeybygzZPY" w:history="1">
        <w:r w:rsidRPr="00A277E3">
          <w:rPr>
            <w:rStyle w:val="Hyperlink"/>
            <w:rFonts w:asciiTheme="minorHAnsi" w:eastAsia="Calibri" w:hAnsiTheme="minorHAnsi" w:cstheme="minorHAnsi"/>
            <w:sz w:val="22"/>
            <w:szCs w:val="22"/>
            <w:lang w:eastAsia="en-US"/>
          </w:rPr>
          <w:t>CoreLogic NZ Property Market podcast</w:t>
        </w:r>
      </w:hyperlink>
      <w:r w:rsidRPr="00A277E3">
        <w:rPr>
          <w:rFonts w:asciiTheme="minorHAnsi" w:eastAsia="Calibri" w:hAnsiTheme="minorHAnsi" w:cstheme="minorHAnsi"/>
          <w:sz w:val="22"/>
          <w:szCs w:val="22"/>
          <w:lang w:eastAsia="en-US"/>
        </w:rPr>
        <w:t xml:space="preserve"> is hosted by head of research Nick Goodall and economist Kelvin Davidson.</w:t>
      </w:r>
    </w:p>
    <w:p w14:paraId="0D6C29B2" w14:textId="31EB5AC7" w:rsidR="00A2700C" w:rsidRPr="00A277E3" w:rsidRDefault="002648BE" w:rsidP="00C82A84">
      <w:pPr>
        <w:pStyle w:val="NormalWeb"/>
        <w:shd w:val="clear" w:color="auto" w:fill="FFFFFF"/>
        <w:spacing w:before="240" w:beforeAutospacing="0" w:after="0" w:afterAutospacing="0" w:line="276" w:lineRule="auto"/>
        <w:rPr>
          <w:rFonts w:asciiTheme="minorHAnsi" w:hAnsiTheme="minorHAnsi" w:cstheme="minorHAnsi"/>
          <w:color w:val="000000" w:themeColor="text1"/>
          <w:sz w:val="22"/>
          <w:szCs w:val="22"/>
        </w:rPr>
      </w:pPr>
      <w:hyperlink r:id="rId10" w:history="1">
        <w:r w:rsidR="00DA700E" w:rsidRPr="00A277E3">
          <w:rPr>
            <w:rStyle w:val="Hyperlink"/>
            <w:rFonts w:asciiTheme="minorHAnsi" w:eastAsia="Calibri" w:hAnsiTheme="minorHAnsi" w:cstheme="minorHAnsi"/>
            <w:sz w:val="22"/>
            <w:szCs w:val="22"/>
            <w:lang w:eastAsia="en-US"/>
          </w:rPr>
          <w:t>www.corelogic.co.nz</w:t>
        </w:r>
      </w:hyperlink>
      <w:r w:rsidR="00DA700E" w:rsidRPr="00A277E3">
        <w:rPr>
          <w:rFonts w:asciiTheme="minorHAnsi" w:eastAsia="Calibri" w:hAnsiTheme="minorHAnsi" w:cstheme="minorHAnsi"/>
          <w:sz w:val="22"/>
          <w:szCs w:val="22"/>
          <w:lang w:eastAsia="en-US"/>
        </w:rPr>
        <w:t xml:space="preserve"> </w:t>
      </w:r>
    </w:p>
    <w:sectPr w:rsidR="00A2700C" w:rsidRPr="00A277E3" w:rsidSect="00A11388">
      <w:headerReference w:type="default" r:id="rId11"/>
      <w:headerReference w:type="first" r:id="rId12"/>
      <w:pgSz w:w="11909" w:h="16834" w:code="9"/>
      <w:pgMar w:top="-1135" w:right="907" w:bottom="993" w:left="1656" w:header="67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C626" w14:textId="77777777" w:rsidR="002648BE" w:rsidRDefault="002648BE">
      <w:r>
        <w:separator/>
      </w:r>
    </w:p>
  </w:endnote>
  <w:endnote w:type="continuationSeparator" w:id="0">
    <w:p w14:paraId="702DAD45" w14:textId="77777777" w:rsidR="002648BE" w:rsidRDefault="0026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Font Regular">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054D" w14:textId="77777777" w:rsidR="002648BE" w:rsidRDefault="002648BE">
      <w:r>
        <w:separator/>
      </w:r>
    </w:p>
  </w:footnote>
  <w:footnote w:type="continuationSeparator" w:id="0">
    <w:p w14:paraId="51F3A108" w14:textId="77777777" w:rsidR="002648BE" w:rsidRDefault="0026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DBDB" w14:textId="77777777" w:rsidR="00916812" w:rsidRDefault="00916812" w:rsidP="00916812">
    <w:pPr>
      <w:pStyle w:val="Header"/>
      <w:tabs>
        <w:tab w:val="clear" w:pos="4320"/>
        <w:tab w:val="clear" w:pos="8640"/>
        <w:tab w:val="left" w:pos="140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72" w:type="dxa"/>
      <w:tblLook w:val="01E0" w:firstRow="1" w:lastRow="1" w:firstColumn="1" w:lastColumn="1" w:noHBand="0" w:noVBand="0"/>
    </w:tblPr>
    <w:tblGrid>
      <w:gridCol w:w="5622"/>
      <w:gridCol w:w="4632"/>
    </w:tblGrid>
    <w:tr w:rsidR="009C7212" w:rsidRPr="00DD5658" w14:paraId="733FF40D" w14:textId="77777777" w:rsidTr="004D4DBE">
      <w:trPr>
        <w:cantSplit/>
        <w:trHeight w:hRule="exact" w:val="279"/>
      </w:trPr>
      <w:tc>
        <w:tcPr>
          <w:tcW w:w="5622" w:type="dxa"/>
          <w:tcMar>
            <w:left w:w="115" w:type="dxa"/>
            <w:bottom w:w="43" w:type="dxa"/>
            <w:right w:w="115" w:type="dxa"/>
          </w:tcMar>
        </w:tcPr>
        <w:p w14:paraId="0ED569E2" w14:textId="0EE10190" w:rsidR="00301F4B" w:rsidRDefault="00815290" w:rsidP="00EA3E6B">
          <w:pPr>
            <w:pStyle w:val="Header"/>
            <w:ind w:left="72"/>
          </w:pPr>
          <w:r>
            <w:t xml:space="preserve"> </w:t>
          </w:r>
        </w:p>
      </w:tc>
      <w:tc>
        <w:tcPr>
          <w:tcW w:w="4632" w:type="dxa"/>
          <w:tcMar>
            <w:left w:w="115" w:type="dxa"/>
            <w:bottom w:w="43" w:type="dxa"/>
            <w:right w:w="115" w:type="dxa"/>
          </w:tcMar>
          <w:vAlign w:val="bottom"/>
        </w:tcPr>
        <w:p w14:paraId="2C4BCE8E" w14:textId="77777777" w:rsidR="00301F4B" w:rsidRPr="00DD5658" w:rsidRDefault="00301F4B" w:rsidP="00F842FE">
          <w:pPr>
            <w:pStyle w:val="CoreLogicAddress"/>
            <w:spacing w:after="40" w:line="276" w:lineRule="auto"/>
            <w:jc w:val="center"/>
            <w:rPr>
              <w:b/>
              <w:color w:val="FF0000"/>
            </w:rPr>
          </w:pPr>
        </w:p>
      </w:tc>
    </w:tr>
    <w:tr w:rsidR="009C7212" w14:paraId="0629FF8E" w14:textId="77777777" w:rsidTr="00C82A84">
      <w:trPr>
        <w:cantSplit/>
        <w:trHeight w:hRule="exact" w:val="19"/>
      </w:trPr>
      <w:tc>
        <w:tcPr>
          <w:tcW w:w="5622" w:type="dxa"/>
        </w:tcPr>
        <w:p w14:paraId="77828816" w14:textId="77777777" w:rsidR="00693B3C" w:rsidRDefault="00693B3C" w:rsidP="00EA3E6B">
          <w:pPr>
            <w:pStyle w:val="Header"/>
            <w:ind w:left="72"/>
          </w:pPr>
        </w:p>
      </w:tc>
      <w:tc>
        <w:tcPr>
          <w:tcW w:w="4632" w:type="dxa"/>
        </w:tcPr>
        <w:p w14:paraId="65ABAD73" w14:textId="77777777" w:rsidR="00693B3C" w:rsidRPr="008300E4" w:rsidRDefault="00693B3C" w:rsidP="009B5B7F">
          <w:pPr>
            <w:pStyle w:val="CoreLogicAddress"/>
          </w:pPr>
        </w:p>
      </w:tc>
    </w:tr>
  </w:tbl>
  <w:p w14:paraId="35032283" w14:textId="405A9A77" w:rsidR="00301F4B" w:rsidRPr="006E2A83" w:rsidRDefault="00301F4B">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7A7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BAD06EA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186A8B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5A08A2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802567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C5A51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C02596"/>
    <w:multiLevelType w:val="hybridMultilevel"/>
    <w:tmpl w:val="C3E49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914C5D"/>
    <w:multiLevelType w:val="hybridMultilevel"/>
    <w:tmpl w:val="9334C64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23CA4"/>
    <w:multiLevelType w:val="hybridMultilevel"/>
    <w:tmpl w:val="55B473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2C005AC"/>
    <w:multiLevelType w:val="hybridMultilevel"/>
    <w:tmpl w:val="6BBA5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8F2406A"/>
    <w:multiLevelType w:val="hybridMultilevel"/>
    <w:tmpl w:val="DEB69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3B2E27"/>
    <w:multiLevelType w:val="hybridMultilevel"/>
    <w:tmpl w:val="B574C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C30AEC"/>
    <w:multiLevelType w:val="hybridMultilevel"/>
    <w:tmpl w:val="43CE91D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3744A8C"/>
    <w:multiLevelType w:val="hybridMultilevel"/>
    <w:tmpl w:val="A9F49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D5CE3"/>
    <w:multiLevelType w:val="hybridMultilevel"/>
    <w:tmpl w:val="8BACC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EE1E1C"/>
    <w:multiLevelType w:val="hybridMultilevel"/>
    <w:tmpl w:val="19845E9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6" w15:restartNumberingAfterBreak="0">
    <w:nsid w:val="31375936"/>
    <w:multiLevelType w:val="hybridMultilevel"/>
    <w:tmpl w:val="55368C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1605FC8"/>
    <w:multiLevelType w:val="hybridMultilevel"/>
    <w:tmpl w:val="AE96643C"/>
    <w:lvl w:ilvl="0" w:tplc="B442FD48">
      <w:start w:val="1"/>
      <w:numFmt w:val="bullet"/>
      <w:pStyle w:val="bullet2"/>
      <w:lvlText w:val="♦"/>
      <w:lvlJc w:val="left"/>
      <w:pPr>
        <w:ind w:left="1163" w:hanging="360"/>
      </w:pPr>
      <w:rPr>
        <w:rFonts w:ascii="Arial" w:hAnsi="Arial" w:hint="default"/>
        <w:color w:val="958377"/>
        <w:sz w:val="20"/>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18" w15:restartNumberingAfterBreak="0">
    <w:nsid w:val="36A05442"/>
    <w:multiLevelType w:val="hybridMultilevel"/>
    <w:tmpl w:val="72F826E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D8C5C9F"/>
    <w:multiLevelType w:val="hybridMultilevel"/>
    <w:tmpl w:val="FD0A2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A80562"/>
    <w:multiLevelType w:val="hybridMultilevel"/>
    <w:tmpl w:val="821A8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FC6BE0"/>
    <w:multiLevelType w:val="hybridMultilevel"/>
    <w:tmpl w:val="3A3A1FBC"/>
    <w:lvl w:ilvl="0" w:tplc="D0E68080">
      <w:start w:val="1"/>
      <w:numFmt w:val="bullet"/>
      <w:pStyle w:val="TOC2"/>
      <w:lvlText w:val=""/>
      <w:lvlJc w:val="left"/>
      <w:pPr>
        <w:tabs>
          <w:tab w:val="num" w:pos="1660"/>
        </w:tabs>
        <w:ind w:left="1660" w:hanging="360"/>
      </w:pPr>
      <w:rPr>
        <w:rFonts w:ascii="Symbol" w:hAnsi="Symbol" w:hint="default"/>
        <w:color w:val="A53523"/>
      </w:rPr>
    </w:lvl>
    <w:lvl w:ilvl="1" w:tplc="04090003" w:tentative="1">
      <w:start w:val="1"/>
      <w:numFmt w:val="bullet"/>
      <w:lvlText w:val="o"/>
      <w:lvlJc w:val="left"/>
      <w:pPr>
        <w:tabs>
          <w:tab w:val="num" w:pos="1660"/>
        </w:tabs>
        <w:ind w:left="1660" w:hanging="360"/>
      </w:pPr>
      <w:rPr>
        <w:rFonts w:ascii="Courier New" w:hAnsi="Courier New" w:cs="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cs="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cs="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22" w15:restartNumberingAfterBreak="0">
    <w:nsid w:val="4E3B0254"/>
    <w:multiLevelType w:val="hybridMultilevel"/>
    <w:tmpl w:val="1AF6D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8D2F7B"/>
    <w:multiLevelType w:val="hybridMultilevel"/>
    <w:tmpl w:val="737E28C6"/>
    <w:lvl w:ilvl="0" w:tplc="8668DC70">
      <w:start w:val="1"/>
      <w:numFmt w:val="bullet"/>
      <w:pStyle w:val="bullet1"/>
      <w:lvlText w:val="►"/>
      <w:lvlJc w:val="left"/>
      <w:pPr>
        <w:ind w:left="547" w:hanging="360"/>
      </w:pPr>
      <w:rPr>
        <w:rFonts w:ascii="Arial" w:hAnsi="Arial" w:hint="default"/>
        <w:color w:val="E23D28"/>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A446D"/>
    <w:multiLevelType w:val="hybridMultilevel"/>
    <w:tmpl w:val="82D6E67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E117180"/>
    <w:multiLevelType w:val="hybridMultilevel"/>
    <w:tmpl w:val="F7F04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AF163B"/>
    <w:multiLevelType w:val="hybridMultilevel"/>
    <w:tmpl w:val="012A1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B84EA8"/>
    <w:multiLevelType w:val="hybridMultilevel"/>
    <w:tmpl w:val="BEC4DEBE"/>
    <w:lvl w:ilvl="0" w:tplc="3D5669C6">
      <w:start w:val="78"/>
      <w:numFmt w:val="bullet"/>
      <w:lvlText w:val="–"/>
      <w:lvlJc w:val="left"/>
      <w:pPr>
        <w:tabs>
          <w:tab w:val="num" w:pos="720"/>
        </w:tabs>
        <w:ind w:left="720" w:hanging="360"/>
      </w:pPr>
      <w:rPr>
        <w:rFonts w:ascii="System Font Regular" w:hAnsi="System Font Regular" w:hint="default"/>
      </w:rPr>
    </w:lvl>
    <w:lvl w:ilvl="1" w:tplc="3D5669C6">
      <w:start w:val="78"/>
      <w:numFmt w:val="bullet"/>
      <w:lvlText w:val="–"/>
      <w:lvlJc w:val="left"/>
      <w:pPr>
        <w:tabs>
          <w:tab w:val="num" w:pos="1440"/>
        </w:tabs>
        <w:ind w:left="1440" w:hanging="360"/>
      </w:pPr>
      <w:rPr>
        <w:rFonts w:ascii="System Font Regular" w:hAnsi="System Font Regular" w:hint="default"/>
      </w:rPr>
    </w:lvl>
    <w:lvl w:ilvl="2" w:tplc="559E075E">
      <w:start w:val="1"/>
      <w:numFmt w:val="bullet"/>
      <w:lvlText w:val=""/>
      <w:lvlJc w:val="left"/>
      <w:pPr>
        <w:tabs>
          <w:tab w:val="num" w:pos="2160"/>
        </w:tabs>
        <w:ind w:left="2160" w:hanging="360"/>
      </w:pPr>
      <w:rPr>
        <w:rFonts w:ascii="Wingdings" w:hAnsi="Wingdings" w:hint="default"/>
      </w:rPr>
    </w:lvl>
    <w:lvl w:ilvl="3" w:tplc="031CB586">
      <w:start w:val="1"/>
      <w:numFmt w:val="bullet"/>
      <w:lvlText w:val=""/>
      <w:lvlJc w:val="left"/>
      <w:pPr>
        <w:tabs>
          <w:tab w:val="num" w:pos="2880"/>
        </w:tabs>
        <w:ind w:left="2880" w:hanging="360"/>
      </w:pPr>
      <w:rPr>
        <w:rFonts w:ascii="Wingdings" w:hAnsi="Wingdings" w:hint="default"/>
      </w:rPr>
    </w:lvl>
    <w:lvl w:ilvl="4" w:tplc="8AB83D18">
      <w:start w:val="1"/>
      <w:numFmt w:val="bullet"/>
      <w:lvlText w:val=""/>
      <w:lvlJc w:val="left"/>
      <w:pPr>
        <w:tabs>
          <w:tab w:val="num" w:pos="3600"/>
        </w:tabs>
        <w:ind w:left="3600" w:hanging="360"/>
      </w:pPr>
      <w:rPr>
        <w:rFonts w:ascii="Wingdings" w:hAnsi="Wingdings" w:hint="default"/>
      </w:rPr>
    </w:lvl>
    <w:lvl w:ilvl="5" w:tplc="24E85BB2">
      <w:start w:val="1"/>
      <w:numFmt w:val="bullet"/>
      <w:lvlText w:val=""/>
      <w:lvlJc w:val="left"/>
      <w:pPr>
        <w:tabs>
          <w:tab w:val="num" w:pos="4320"/>
        </w:tabs>
        <w:ind w:left="4320" w:hanging="360"/>
      </w:pPr>
      <w:rPr>
        <w:rFonts w:ascii="Wingdings" w:hAnsi="Wingdings" w:hint="default"/>
      </w:rPr>
    </w:lvl>
    <w:lvl w:ilvl="6" w:tplc="40C2A634">
      <w:start w:val="1"/>
      <w:numFmt w:val="bullet"/>
      <w:lvlText w:val=""/>
      <w:lvlJc w:val="left"/>
      <w:pPr>
        <w:tabs>
          <w:tab w:val="num" w:pos="5040"/>
        </w:tabs>
        <w:ind w:left="5040" w:hanging="360"/>
      </w:pPr>
      <w:rPr>
        <w:rFonts w:ascii="Wingdings" w:hAnsi="Wingdings" w:hint="default"/>
      </w:rPr>
    </w:lvl>
    <w:lvl w:ilvl="7" w:tplc="9E362EF6">
      <w:start w:val="1"/>
      <w:numFmt w:val="bullet"/>
      <w:lvlText w:val=""/>
      <w:lvlJc w:val="left"/>
      <w:pPr>
        <w:tabs>
          <w:tab w:val="num" w:pos="5760"/>
        </w:tabs>
        <w:ind w:left="5760" w:hanging="360"/>
      </w:pPr>
      <w:rPr>
        <w:rFonts w:ascii="Wingdings" w:hAnsi="Wingdings" w:hint="default"/>
      </w:rPr>
    </w:lvl>
    <w:lvl w:ilvl="8" w:tplc="F940B27E">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B7C7C"/>
    <w:multiLevelType w:val="hybridMultilevel"/>
    <w:tmpl w:val="E9863DA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6E5069"/>
    <w:multiLevelType w:val="hybridMultilevel"/>
    <w:tmpl w:val="1CA08CE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0478A7"/>
    <w:multiLevelType w:val="hybridMultilevel"/>
    <w:tmpl w:val="03A42D2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9AE0D78"/>
    <w:multiLevelType w:val="hybridMultilevel"/>
    <w:tmpl w:val="D68A2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6A28D5"/>
    <w:multiLevelType w:val="hybridMultilevel"/>
    <w:tmpl w:val="54FC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6F2C79"/>
    <w:multiLevelType w:val="hybridMultilevel"/>
    <w:tmpl w:val="D556D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BB10E1"/>
    <w:multiLevelType w:val="hybridMultilevel"/>
    <w:tmpl w:val="4D146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BA41F5"/>
    <w:multiLevelType w:val="hybridMultilevel"/>
    <w:tmpl w:val="3CAAC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B47F27"/>
    <w:multiLevelType w:val="hybridMultilevel"/>
    <w:tmpl w:val="B4943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D70796"/>
    <w:multiLevelType w:val="hybridMultilevel"/>
    <w:tmpl w:val="82D4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F62142"/>
    <w:multiLevelType w:val="hybridMultilevel"/>
    <w:tmpl w:val="5D38C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5B2C74"/>
    <w:multiLevelType w:val="hybridMultilevel"/>
    <w:tmpl w:val="178CD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D27610"/>
    <w:multiLevelType w:val="hybridMultilevel"/>
    <w:tmpl w:val="CC1A7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7"/>
  </w:num>
  <w:num w:numId="4">
    <w:abstractNumId w:val="0"/>
  </w:num>
  <w:num w:numId="5">
    <w:abstractNumId w:val="5"/>
  </w:num>
  <w:num w:numId="6">
    <w:abstractNumId w:val="4"/>
  </w:num>
  <w:num w:numId="7">
    <w:abstractNumId w:val="3"/>
  </w:num>
  <w:num w:numId="8">
    <w:abstractNumId w:val="2"/>
  </w:num>
  <w:num w:numId="9">
    <w:abstractNumId w:val="1"/>
  </w:num>
  <w:num w:numId="10">
    <w:abstractNumId w:val="38"/>
  </w:num>
  <w:num w:numId="11">
    <w:abstractNumId w:val="20"/>
  </w:num>
  <w:num w:numId="12">
    <w:abstractNumId w:val="22"/>
  </w:num>
  <w:num w:numId="13">
    <w:abstractNumId w:val="19"/>
  </w:num>
  <w:num w:numId="14">
    <w:abstractNumId w:val="26"/>
  </w:num>
  <w:num w:numId="15">
    <w:abstractNumId w:val="39"/>
  </w:num>
  <w:num w:numId="16">
    <w:abstractNumId w:val="34"/>
  </w:num>
  <w:num w:numId="17">
    <w:abstractNumId w:val="11"/>
  </w:num>
  <w:num w:numId="18">
    <w:abstractNumId w:val="33"/>
  </w:num>
  <w:num w:numId="19">
    <w:abstractNumId w:val="31"/>
  </w:num>
  <w:num w:numId="20">
    <w:abstractNumId w:val="36"/>
  </w:num>
  <w:num w:numId="21">
    <w:abstractNumId w:val="9"/>
  </w:num>
  <w:num w:numId="22">
    <w:abstractNumId w:val="6"/>
  </w:num>
  <w:num w:numId="23">
    <w:abstractNumId w:val="25"/>
  </w:num>
  <w:num w:numId="24">
    <w:abstractNumId w:val="32"/>
  </w:num>
  <w:num w:numId="25">
    <w:abstractNumId w:val="40"/>
  </w:num>
  <w:num w:numId="26">
    <w:abstractNumId w:val="13"/>
  </w:num>
  <w:num w:numId="27">
    <w:abstractNumId w:val="37"/>
  </w:num>
  <w:num w:numId="28">
    <w:abstractNumId w:val="35"/>
  </w:num>
  <w:num w:numId="29">
    <w:abstractNumId w:val="27"/>
  </w:num>
  <w:num w:numId="30">
    <w:abstractNumId w:val="8"/>
  </w:num>
  <w:num w:numId="31">
    <w:abstractNumId w:val="15"/>
  </w:num>
  <w:num w:numId="32">
    <w:abstractNumId w:val="30"/>
  </w:num>
  <w:num w:numId="33">
    <w:abstractNumId w:val="12"/>
  </w:num>
  <w:num w:numId="34">
    <w:abstractNumId w:val="7"/>
  </w:num>
  <w:num w:numId="35">
    <w:abstractNumId w:val="24"/>
  </w:num>
  <w:num w:numId="36">
    <w:abstractNumId w:val="18"/>
  </w:num>
  <w:num w:numId="37">
    <w:abstractNumId w:val="29"/>
  </w:num>
  <w:num w:numId="38">
    <w:abstractNumId w:val="28"/>
  </w:num>
  <w:num w:numId="39">
    <w:abstractNumId w:val="16"/>
  </w:num>
  <w:num w:numId="40">
    <w:abstractNumId w:val="1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NZ" w:vendorID="64" w:dllVersion="0" w:nlCheck="1" w:checkStyle="0"/>
  <w:activeWritingStyle w:appName="MSWord" w:lang="en-US" w:vendorID="64" w:dllVersion="0" w:nlCheck="1" w:checkStyle="0"/>
  <w:activeWritingStyle w:appName="MSWord" w:lang="en-NZ" w:vendorID="64" w:dllVersion="6" w:nlCheck="1" w:checkStyle="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A4"/>
    <w:rsid w:val="0000573E"/>
    <w:rsid w:val="00007CA5"/>
    <w:rsid w:val="0001101F"/>
    <w:rsid w:val="00020161"/>
    <w:rsid w:val="00020928"/>
    <w:rsid w:val="00031AA5"/>
    <w:rsid w:val="0004035D"/>
    <w:rsid w:val="00073488"/>
    <w:rsid w:val="00076BBE"/>
    <w:rsid w:val="0008232D"/>
    <w:rsid w:val="00083F87"/>
    <w:rsid w:val="00095EF1"/>
    <w:rsid w:val="000967AA"/>
    <w:rsid w:val="000A1F17"/>
    <w:rsid w:val="000A2DCA"/>
    <w:rsid w:val="000B1693"/>
    <w:rsid w:val="000B1BBF"/>
    <w:rsid w:val="000B7560"/>
    <w:rsid w:val="000D6AD4"/>
    <w:rsid w:val="000F0A36"/>
    <w:rsid w:val="0010791C"/>
    <w:rsid w:val="0011127C"/>
    <w:rsid w:val="001116E1"/>
    <w:rsid w:val="00111A0D"/>
    <w:rsid w:val="00117BF7"/>
    <w:rsid w:val="0012118F"/>
    <w:rsid w:val="001313C3"/>
    <w:rsid w:val="00171C87"/>
    <w:rsid w:val="00191D0E"/>
    <w:rsid w:val="001B0B24"/>
    <w:rsid w:val="001B40EE"/>
    <w:rsid w:val="001C78F7"/>
    <w:rsid w:val="00205ECF"/>
    <w:rsid w:val="002122BC"/>
    <w:rsid w:val="00214184"/>
    <w:rsid w:val="002141BF"/>
    <w:rsid w:val="002318BA"/>
    <w:rsid w:val="00232A35"/>
    <w:rsid w:val="002342AF"/>
    <w:rsid w:val="00244B20"/>
    <w:rsid w:val="00261D84"/>
    <w:rsid w:val="002648BE"/>
    <w:rsid w:val="00276A4F"/>
    <w:rsid w:val="002905E9"/>
    <w:rsid w:val="00296DCA"/>
    <w:rsid w:val="002C6CED"/>
    <w:rsid w:val="002E5658"/>
    <w:rsid w:val="002E5ECD"/>
    <w:rsid w:val="00301F4B"/>
    <w:rsid w:val="0032320A"/>
    <w:rsid w:val="003529A2"/>
    <w:rsid w:val="0039175D"/>
    <w:rsid w:val="0039460F"/>
    <w:rsid w:val="003A2458"/>
    <w:rsid w:val="003A7A95"/>
    <w:rsid w:val="003C6A04"/>
    <w:rsid w:val="003D132B"/>
    <w:rsid w:val="003D17AA"/>
    <w:rsid w:val="003D5330"/>
    <w:rsid w:val="003E4903"/>
    <w:rsid w:val="003F2B04"/>
    <w:rsid w:val="003F462A"/>
    <w:rsid w:val="003F7ECE"/>
    <w:rsid w:val="00403EFA"/>
    <w:rsid w:val="00414A27"/>
    <w:rsid w:val="00431375"/>
    <w:rsid w:val="00436DD7"/>
    <w:rsid w:val="004449D8"/>
    <w:rsid w:val="00452D00"/>
    <w:rsid w:val="00472CDD"/>
    <w:rsid w:val="0048696C"/>
    <w:rsid w:val="00492780"/>
    <w:rsid w:val="004B2750"/>
    <w:rsid w:val="004C08F2"/>
    <w:rsid w:val="004C0F13"/>
    <w:rsid w:val="004C44EF"/>
    <w:rsid w:val="004D2913"/>
    <w:rsid w:val="004D4DBE"/>
    <w:rsid w:val="004F17EB"/>
    <w:rsid w:val="005153FF"/>
    <w:rsid w:val="0051610E"/>
    <w:rsid w:val="00526CAF"/>
    <w:rsid w:val="00531EE9"/>
    <w:rsid w:val="00547F58"/>
    <w:rsid w:val="00571D0C"/>
    <w:rsid w:val="0057716A"/>
    <w:rsid w:val="00582E61"/>
    <w:rsid w:val="0059047B"/>
    <w:rsid w:val="005B121C"/>
    <w:rsid w:val="005C20DC"/>
    <w:rsid w:val="005C7259"/>
    <w:rsid w:val="005D00CA"/>
    <w:rsid w:val="005F024F"/>
    <w:rsid w:val="005F04B5"/>
    <w:rsid w:val="00600A5A"/>
    <w:rsid w:val="00601390"/>
    <w:rsid w:val="00607E3E"/>
    <w:rsid w:val="0062552F"/>
    <w:rsid w:val="00641697"/>
    <w:rsid w:val="00641878"/>
    <w:rsid w:val="00655B29"/>
    <w:rsid w:val="00662172"/>
    <w:rsid w:val="006746B4"/>
    <w:rsid w:val="00675711"/>
    <w:rsid w:val="006801BA"/>
    <w:rsid w:val="0068720B"/>
    <w:rsid w:val="00693B3C"/>
    <w:rsid w:val="006A7BCC"/>
    <w:rsid w:val="006B03F1"/>
    <w:rsid w:val="006B25A7"/>
    <w:rsid w:val="006B5F64"/>
    <w:rsid w:val="006C029E"/>
    <w:rsid w:val="006C2DEC"/>
    <w:rsid w:val="006D12C4"/>
    <w:rsid w:val="006D3F88"/>
    <w:rsid w:val="006E0543"/>
    <w:rsid w:val="006E2A83"/>
    <w:rsid w:val="006F094B"/>
    <w:rsid w:val="00702695"/>
    <w:rsid w:val="007102DD"/>
    <w:rsid w:val="00712AC2"/>
    <w:rsid w:val="00720731"/>
    <w:rsid w:val="007406EB"/>
    <w:rsid w:val="00750182"/>
    <w:rsid w:val="0075412B"/>
    <w:rsid w:val="00767EC5"/>
    <w:rsid w:val="007716DC"/>
    <w:rsid w:val="00772B61"/>
    <w:rsid w:val="00781098"/>
    <w:rsid w:val="00784394"/>
    <w:rsid w:val="007A4E12"/>
    <w:rsid w:val="007B022A"/>
    <w:rsid w:val="007B2B5E"/>
    <w:rsid w:val="007B4CE9"/>
    <w:rsid w:val="007C2C30"/>
    <w:rsid w:val="007C7AFC"/>
    <w:rsid w:val="007C7B1F"/>
    <w:rsid w:val="007E45EA"/>
    <w:rsid w:val="007E6C89"/>
    <w:rsid w:val="007F5B12"/>
    <w:rsid w:val="007F62D5"/>
    <w:rsid w:val="00810E57"/>
    <w:rsid w:val="00815290"/>
    <w:rsid w:val="008300E4"/>
    <w:rsid w:val="00833772"/>
    <w:rsid w:val="00836784"/>
    <w:rsid w:val="00857849"/>
    <w:rsid w:val="00864425"/>
    <w:rsid w:val="00886B1D"/>
    <w:rsid w:val="00891F09"/>
    <w:rsid w:val="00897722"/>
    <w:rsid w:val="008A0931"/>
    <w:rsid w:val="008A0CDB"/>
    <w:rsid w:val="008A4D35"/>
    <w:rsid w:val="008C2380"/>
    <w:rsid w:val="008D1F74"/>
    <w:rsid w:val="008D5A42"/>
    <w:rsid w:val="008F404D"/>
    <w:rsid w:val="00916812"/>
    <w:rsid w:val="009335A0"/>
    <w:rsid w:val="00944FF5"/>
    <w:rsid w:val="0095189E"/>
    <w:rsid w:val="0095689F"/>
    <w:rsid w:val="00973C98"/>
    <w:rsid w:val="00985CF1"/>
    <w:rsid w:val="00993F65"/>
    <w:rsid w:val="009A7899"/>
    <w:rsid w:val="009B5B7F"/>
    <w:rsid w:val="009B7EAC"/>
    <w:rsid w:val="009C2B78"/>
    <w:rsid w:val="009C35B8"/>
    <w:rsid w:val="009C7212"/>
    <w:rsid w:val="009D30D8"/>
    <w:rsid w:val="009D379C"/>
    <w:rsid w:val="009F5AEC"/>
    <w:rsid w:val="009F7561"/>
    <w:rsid w:val="00A07CD7"/>
    <w:rsid w:val="00A11388"/>
    <w:rsid w:val="00A11FF1"/>
    <w:rsid w:val="00A15AE2"/>
    <w:rsid w:val="00A16145"/>
    <w:rsid w:val="00A26A93"/>
    <w:rsid w:val="00A2700C"/>
    <w:rsid w:val="00A277E3"/>
    <w:rsid w:val="00A507A3"/>
    <w:rsid w:val="00A55538"/>
    <w:rsid w:val="00A56AA0"/>
    <w:rsid w:val="00A57389"/>
    <w:rsid w:val="00A60E49"/>
    <w:rsid w:val="00A623CE"/>
    <w:rsid w:val="00A63064"/>
    <w:rsid w:val="00A66A74"/>
    <w:rsid w:val="00A72C67"/>
    <w:rsid w:val="00A8189C"/>
    <w:rsid w:val="00A82295"/>
    <w:rsid w:val="00A82630"/>
    <w:rsid w:val="00AB5287"/>
    <w:rsid w:val="00AC5D02"/>
    <w:rsid w:val="00AD2EA2"/>
    <w:rsid w:val="00AD47C1"/>
    <w:rsid w:val="00AD4869"/>
    <w:rsid w:val="00AE6585"/>
    <w:rsid w:val="00B06B51"/>
    <w:rsid w:val="00B2737D"/>
    <w:rsid w:val="00B52799"/>
    <w:rsid w:val="00B54CD9"/>
    <w:rsid w:val="00B613C0"/>
    <w:rsid w:val="00B71772"/>
    <w:rsid w:val="00B73598"/>
    <w:rsid w:val="00B855FD"/>
    <w:rsid w:val="00B914CE"/>
    <w:rsid w:val="00B975CE"/>
    <w:rsid w:val="00BB41F8"/>
    <w:rsid w:val="00BC3C3F"/>
    <w:rsid w:val="00BC6D7B"/>
    <w:rsid w:val="00BD63C1"/>
    <w:rsid w:val="00BD719A"/>
    <w:rsid w:val="00BE01AD"/>
    <w:rsid w:val="00BE78C4"/>
    <w:rsid w:val="00BF1750"/>
    <w:rsid w:val="00BF4825"/>
    <w:rsid w:val="00BF6108"/>
    <w:rsid w:val="00C17167"/>
    <w:rsid w:val="00C664A3"/>
    <w:rsid w:val="00C82A84"/>
    <w:rsid w:val="00C84686"/>
    <w:rsid w:val="00C94642"/>
    <w:rsid w:val="00CA3966"/>
    <w:rsid w:val="00CA6AFC"/>
    <w:rsid w:val="00CB1F7D"/>
    <w:rsid w:val="00CF0394"/>
    <w:rsid w:val="00CF2DF3"/>
    <w:rsid w:val="00D02550"/>
    <w:rsid w:val="00D03877"/>
    <w:rsid w:val="00D232F0"/>
    <w:rsid w:val="00D3550D"/>
    <w:rsid w:val="00D429FF"/>
    <w:rsid w:val="00D51B58"/>
    <w:rsid w:val="00D73B7E"/>
    <w:rsid w:val="00D86A5C"/>
    <w:rsid w:val="00D91089"/>
    <w:rsid w:val="00DA700E"/>
    <w:rsid w:val="00DB1CEB"/>
    <w:rsid w:val="00DB612F"/>
    <w:rsid w:val="00DC26C9"/>
    <w:rsid w:val="00DD26F9"/>
    <w:rsid w:val="00DD5658"/>
    <w:rsid w:val="00E00130"/>
    <w:rsid w:val="00E0187C"/>
    <w:rsid w:val="00E32486"/>
    <w:rsid w:val="00E35639"/>
    <w:rsid w:val="00E41157"/>
    <w:rsid w:val="00E45477"/>
    <w:rsid w:val="00E47F05"/>
    <w:rsid w:val="00E60616"/>
    <w:rsid w:val="00E642FD"/>
    <w:rsid w:val="00E756A4"/>
    <w:rsid w:val="00E93B6B"/>
    <w:rsid w:val="00EA3E6B"/>
    <w:rsid w:val="00EA72BB"/>
    <w:rsid w:val="00EC03AE"/>
    <w:rsid w:val="00ED0328"/>
    <w:rsid w:val="00ED34D1"/>
    <w:rsid w:val="00ED4A51"/>
    <w:rsid w:val="00EE204C"/>
    <w:rsid w:val="00EE481D"/>
    <w:rsid w:val="00EE6046"/>
    <w:rsid w:val="00EF10C2"/>
    <w:rsid w:val="00EF3492"/>
    <w:rsid w:val="00EF4FEF"/>
    <w:rsid w:val="00F04B3A"/>
    <w:rsid w:val="00F11551"/>
    <w:rsid w:val="00F25496"/>
    <w:rsid w:val="00F32214"/>
    <w:rsid w:val="00F440A7"/>
    <w:rsid w:val="00F62DF6"/>
    <w:rsid w:val="00F633A6"/>
    <w:rsid w:val="00F842FE"/>
    <w:rsid w:val="00F85956"/>
    <w:rsid w:val="00F96FE6"/>
    <w:rsid w:val="00FB2770"/>
    <w:rsid w:val="00FC78FF"/>
    <w:rsid w:val="00FD1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6478E"/>
  <w14:defaultImageDpi w14:val="300"/>
  <w15:chartTrackingRefBased/>
  <w15:docId w15:val="{8FAC9A14-9000-4751-B425-973C7F45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94B"/>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031AA5"/>
    <w:pPr>
      <w:keepNext/>
      <w:spacing w:before="240" w:after="60"/>
      <w:outlineLvl w:val="0"/>
    </w:pPr>
    <w:rPr>
      <w:rFonts w:ascii="Calibri" w:eastAsia="MS Gothic" w:hAnsi="Calibri"/>
      <w:b/>
      <w:bCs/>
      <w:kern w:val="32"/>
      <w:sz w:val="32"/>
      <w:szCs w:val="32"/>
    </w:rPr>
  </w:style>
  <w:style w:type="paragraph" w:styleId="Heading4">
    <w:name w:val="heading 4"/>
    <w:basedOn w:val="Normal"/>
    <w:next w:val="Normal"/>
    <w:link w:val="Heading4Char"/>
    <w:semiHidden/>
    <w:unhideWhenUsed/>
    <w:qFormat/>
    <w:rsid w:val="00403E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864425"/>
    <w:pPr>
      <w:tabs>
        <w:tab w:val="left" w:pos="2520"/>
      </w:tabs>
      <w:spacing w:before="240"/>
      <w:ind w:left="2160" w:right="360"/>
    </w:pPr>
    <w:rPr>
      <w:rFonts w:ascii="Arial" w:hAnsi="Arial"/>
      <w:b/>
      <w:bCs/>
      <w:caps/>
      <w:noProof/>
      <w:color w:val="A53523"/>
      <w:sz w:val="28"/>
      <w:szCs w:val="20"/>
    </w:rPr>
  </w:style>
  <w:style w:type="paragraph" w:styleId="TOC2">
    <w:name w:val="toc 2"/>
    <w:basedOn w:val="Normal"/>
    <w:next w:val="Normal"/>
    <w:semiHidden/>
    <w:rsid w:val="00864425"/>
    <w:pPr>
      <w:numPr>
        <w:numId w:val="1"/>
      </w:numPr>
      <w:tabs>
        <w:tab w:val="left" w:pos="2808"/>
        <w:tab w:val="right" w:pos="10790"/>
      </w:tabs>
      <w:spacing w:before="60"/>
      <w:ind w:right="360"/>
    </w:pPr>
    <w:rPr>
      <w:rFonts w:ascii="Arial" w:hAnsi="Arial"/>
      <w:b/>
      <w:iCs/>
      <w:color w:val="6E6B5E"/>
      <w:szCs w:val="20"/>
    </w:rPr>
  </w:style>
  <w:style w:type="paragraph" w:styleId="Header">
    <w:name w:val="header"/>
    <w:basedOn w:val="Normal"/>
    <w:rsid w:val="008C2380"/>
    <w:pPr>
      <w:tabs>
        <w:tab w:val="center" w:pos="4320"/>
        <w:tab w:val="right" w:pos="8640"/>
      </w:tabs>
    </w:pPr>
  </w:style>
  <w:style w:type="paragraph" w:styleId="Footer">
    <w:name w:val="footer"/>
    <w:basedOn w:val="Normal"/>
    <w:rsid w:val="008C2380"/>
    <w:pPr>
      <w:tabs>
        <w:tab w:val="center" w:pos="4320"/>
        <w:tab w:val="right" w:pos="8640"/>
      </w:tabs>
    </w:pPr>
  </w:style>
  <w:style w:type="table" w:styleId="TableGrid">
    <w:name w:val="Table Grid"/>
    <w:basedOn w:val="TableNormal"/>
    <w:rsid w:val="0002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eLogicAddress">
    <w:name w:val="CoreLogic Address"/>
    <w:rsid w:val="006C2DEC"/>
    <w:pPr>
      <w:spacing w:line="160" w:lineRule="exact"/>
      <w:jc w:val="right"/>
    </w:pPr>
    <w:rPr>
      <w:rFonts w:ascii="Arial" w:hAnsi="Arial"/>
      <w:color w:val="685745"/>
      <w:sz w:val="14"/>
      <w:szCs w:val="14"/>
      <w:lang w:val="en-US" w:eastAsia="ko-KR"/>
    </w:rPr>
  </w:style>
  <w:style w:type="paragraph" w:styleId="Date">
    <w:name w:val="Date"/>
    <w:basedOn w:val="Normal"/>
    <w:next w:val="Normal"/>
    <w:rsid w:val="00A2700C"/>
    <w:rPr>
      <w:sz w:val="20"/>
      <w:szCs w:val="20"/>
    </w:rPr>
  </w:style>
  <w:style w:type="paragraph" w:customStyle="1" w:styleId="bullet1">
    <w:name w:val="bullet 1"/>
    <w:basedOn w:val="CoreLogicMainBody"/>
    <w:qFormat/>
    <w:rsid w:val="004C44EF"/>
    <w:pPr>
      <w:numPr>
        <w:numId w:val="2"/>
      </w:numPr>
      <w:spacing w:before="120"/>
      <w:ind w:left="447" w:hanging="274"/>
    </w:pPr>
  </w:style>
  <w:style w:type="paragraph" w:customStyle="1" w:styleId="CoreLogicMainBody">
    <w:name w:val="CoreLogic Main Body"/>
    <w:basedOn w:val="Normal"/>
    <w:rsid w:val="004C08F2"/>
    <w:pPr>
      <w:spacing w:before="300" w:line="300" w:lineRule="exact"/>
      <w:ind w:right="288"/>
    </w:pPr>
    <w:rPr>
      <w:rFonts w:ascii="Arial" w:hAnsi="Arial"/>
      <w:sz w:val="20"/>
      <w:szCs w:val="20"/>
    </w:rPr>
  </w:style>
  <w:style w:type="paragraph" w:customStyle="1" w:styleId="Date1">
    <w:name w:val="Date1"/>
    <w:basedOn w:val="name"/>
    <w:next w:val="name"/>
    <w:qFormat/>
    <w:rsid w:val="004C08F2"/>
    <w:pPr>
      <w:spacing w:after="300"/>
    </w:pPr>
  </w:style>
  <w:style w:type="paragraph" w:customStyle="1" w:styleId="name">
    <w:name w:val="name"/>
    <w:next w:val="company"/>
    <w:qFormat/>
    <w:rsid w:val="004C08F2"/>
    <w:rPr>
      <w:rFonts w:ascii="Arial" w:hAnsi="Arial"/>
      <w:lang w:val="en-US" w:eastAsia="ko-KR"/>
    </w:rPr>
  </w:style>
  <w:style w:type="paragraph" w:customStyle="1" w:styleId="company">
    <w:name w:val="company"/>
    <w:basedOn w:val="name"/>
    <w:next w:val="address"/>
    <w:qFormat/>
    <w:rsid w:val="004C44EF"/>
  </w:style>
  <w:style w:type="paragraph" w:customStyle="1" w:styleId="address">
    <w:name w:val="address"/>
    <w:basedOn w:val="name"/>
    <w:next w:val="citystatezip"/>
    <w:qFormat/>
    <w:rsid w:val="004C08F2"/>
  </w:style>
  <w:style w:type="paragraph" w:customStyle="1" w:styleId="citystatezip">
    <w:name w:val="city state zip"/>
    <w:basedOn w:val="name"/>
    <w:next w:val="Salutation1"/>
    <w:qFormat/>
    <w:rsid w:val="004C44EF"/>
    <w:pPr>
      <w:spacing w:after="840"/>
    </w:pPr>
  </w:style>
  <w:style w:type="paragraph" w:customStyle="1" w:styleId="bullet2">
    <w:name w:val="bullet 2"/>
    <w:basedOn w:val="bullet1"/>
    <w:qFormat/>
    <w:rsid w:val="004C44EF"/>
    <w:pPr>
      <w:numPr>
        <w:numId w:val="3"/>
      </w:numPr>
      <w:spacing w:before="60"/>
      <w:ind w:left="907"/>
    </w:pPr>
  </w:style>
  <w:style w:type="paragraph" w:customStyle="1" w:styleId="Salutation1">
    <w:name w:val="Salutation1"/>
    <w:basedOn w:val="CoreLogicMainBody"/>
    <w:next w:val="CoreLogicMainBody"/>
    <w:qFormat/>
    <w:rsid w:val="004C44EF"/>
    <w:pPr>
      <w:spacing w:before="840"/>
    </w:pPr>
  </w:style>
  <w:style w:type="paragraph" w:customStyle="1" w:styleId="signatureline">
    <w:name w:val="signature line"/>
    <w:basedOn w:val="CoreLogicMainBody"/>
    <w:next w:val="salesrepname"/>
    <w:qFormat/>
    <w:rsid w:val="004C44EF"/>
    <w:pPr>
      <w:spacing w:before="600"/>
    </w:pPr>
    <w:rPr>
      <w:rFonts w:cs="Arial"/>
    </w:rPr>
  </w:style>
  <w:style w:type="paragraph" w:customStyle="1" w:styleId="salesrepname">
    <w:name w:val="sales rep name"/>
    <w:basedOn w:val="CoreLogicMainBody"/>
    <w:next w:val="salesreptitle"/>
    <w:qFormat/>
    <w:rsid w:val="004C44EF"/>
    <w:pPr>
      <w:spacing w:before="120"/>
    </w:pPr>
  </w:style>
  <w:style w:type="paragraph" w:customStyle="1" w:styleId="salesreptitle">
    <w:name w:val="sales rep title"/>
    <w:basedOn w:val="CoreLogicMainBody"/>
    <w:next w:val="salesreptelephone"/>
    <w:qFormat/>
    <w:rsid w:val="004C44EF"/>
    <w:pPr>
      <w:spacing w:before="0"/>
    </w:pPr>
  </w:style>
  <w:style w:type="paragraph" w:customStyle="1" w:styleId="salesreptelephone">
    <w:name w:val="sales rep telephone"/>
    <w:basedOn w:val="CoreLogicMainBody"/>
    <w:next w:val="salesrepemail"/>
    <w:qFormat/>
    <w:rsid w:val="004C44EF"/>
    <w:pPr>
      <w:spacing w:before="0"/>
    </w:pPr>
  </w:style>
  <w:style w:type="paragraph" w:customStyle="1" w:styleId="salesrepemail">
    <w:name w:val="sales rep email"/>
    <w:basedOn w:val="CoreLogicMainBody"/>
    <w:qFormat/>
    <w:rsid w:val="004C44EF"/>
    <w:pPr>
      <w:spacing w:before="0"/>
    </w:pPr>
  </w:style>
  <w:style w:type="paragraph" w:styleId="BalloonText">
    <w:name w:val="Balloon Text"/>
    <w:basedOn w:val="Normal"/>
    <w:link w:val="BalloonTextChar"/>
    <w:rsid w:val="004C08F2"/>
    <w:rPr>
      <w:rFonts w:ascii="Arial" w:hAnsi="Arial" w:cs="Lucida Grande"/>
      <w:sz w:val="18"/>
      <w:szCs w:val="18"/>
    </w:rPr>
  </w:style>
  <w:style w:type="character" w:customStyle="1" w:styleId="BalloonTextChar">
    <w:name w:val="Balloon Text Char"/>
    <w:link w:val="BalloonText"/>
    <w:rsid w:val="004C08F2"/>
    <w:rPr>
      <w:rFonts w:ascii="Arial" w:hAnsi="Arial" w:cs="Lucida Grande"/>
      <w:sz w:val="18"/>
      <w:szCs w:val="18"/>
      <w:lang w:val="en-US" w:eastAsia="ko-KR"/>
    </w:rPr>
  </w:style>
  <w:style w:type="paragraph" w:styleId="BodyText">
    <w:name w:val="Body Text"/>
    <w:aliases w:val="arial"/>
    <w:basedOn w:val="Normal"/>
    <w:link w:val="BodyTextChar"/>
    <w:rsid w:val="004C08F2"/>
    <w:pPr>
      <w:spacing w:after="120"/>
    </w:pPr>
  </w:style>
  <w:style w:type="character" w:customStyle="1" w:styleId="BodyTextChar">
    <w:name w:val="Body Text Char"/>
    <w:aliases w:val="arial Char"/>
    <w:link w:val="BodyText"/>
    <w:rsid w:val="004C08F2"/>
    <w:rPr>
      <w:sz w:val="24"/>
      <w:szCs w:val="24"/>
      <w:lang w:val="en-US" w:eastAsia="ko-KR"/>
    </w:rPr>
  </w:style>
  <w:style w:type="paragraph" w:styleId="BodyText2">
    <w:name w:val="Body Text 2"/>
    <w:basedOn w:val="Normal"/>
    <w:link w:val="BodyText2Char"/>
    <w:rsid w:val="004C08F2"/>
    <w:pPr>
      <w:spacing w:after="120" w:line="480" w:lineRule="auto"/>
    </w:pPr>
    <w:rPr>
      <w:rFonts w:ascii="Arial" w:hAnsi="Arial"/>
    </w:rPr>
  </w:style>
  <w:style w:type="character" w:customStyle="1" w:styleId="BodyText2Char">
    <w:name w:val="Body Text 2 Char"/>
    <w:link w:val="BodyText2"/>
    <w:rsid w:val="004C08F2"/>
    <w:rPr>
      <w:rFonts w:ascii="Arial" w:hAnsi="Arial"/>
      <w:sz w:val="24"/>
      <w:szCs w:val="24"/>
      <w:lang w:val="en-US" w:eastAsia="ko-KR"/>
    </w:rPr>
  </w:style>
  <w:style w:type="paragraph" w:styleId="BodyText3">
    <w:name w:val="Body Text 3"/>
    <w:basedOn w:val="Normal"/>
    <w:link w:val="BodyText3Char"/>
    <w:rsid w:val="004C08F2"/>
    <w:pPr>
      <w:spacing w:after="120"/>
    </w:pPr>
    <w:rPr>
      <w:rFonts w:ascii="Arial" w:hAnsi="Arial"/>
      <w:sz w:val="16"/>
      <w:szCs w:val="16"/>
    </w:rPr>
  </w:style>
  <w:style w:type="character" w:customStyle="1" w:styleId="BodyText3Char">
    <w:name w:val="Body Text 3 Char"/>
    <w:link w:val="BodyText3"/>
    <w:rsid w:val="004C08F2"/>
    <w:rPr>
      <w:rFonts w:ascii="Arial" w:hAnsi="Arial"/>
      <w:sz w:val="16"/>
      <w:szCs w:val="16"/>
      <w:lang w:val="en-US" w:eastAsia="ko-KR"/>
    </w:rPr>
  </w:style>
  <w:style w:type="paragraph" w:styleId="BodyTextFirstIndent">
    <w:name w:val="Body Text First Indent"/>
    <w:basedOn w:val="BodyText"/>
    <w:link w:val="BodyTextFirstIndentChar"/>
    <w:rsid w:val="004C08F2"/>
    <w:pPr>
      <w:spacing w:after="0"/>
      <w:ind w:firstLine="360"/>
    </w:pPr>
    <w:rPr>
      <w:rFonts w:ascii="Arial" w:hAnsi="Arial"/>
    </w:rPr>
  </w:style>
  <w:style w:type="character" w:customStyle="1" w:styleId="BodyTextFirstIndentChar">
    <w:name w:val="Body Text First Indent Char"/>
    <w:link w:val="BodyTextFirstIndent"/>
    <w:rsid w:val="004C08F2"/>
    <w:rPr>
      <w:rFonts w:ascii="Arial" w:hAnsi="Arial"/>
      <w:sz w:val="24"/>
      <w:szCs w:val="24"/>
      <w:lang w:val="en-US" w:eastAsia="ko-KR"/>
    </w:rPr>
  </w:style>
  <w:style w:type="paragraph" w:styleId="BodyTextIndent">
    <w:name w:val="Body Text Indent"/>
    <w:basedOn w:val="Normal"/>
    <w:link w:val="BodyTextIndentChar"/>
    <w:rsid w:val="004C08F2"/>
    <w:pPr>
      <w:spacing w:after="120"/>
      <w:ind w:left="283"/>
    </w:pPr>
  </w:style>
  <w:style w:type="character" w:customStyle="1" w:styleId="BodyTextIndentChar">
    <w:name w:val="Body Text Indent Char"/>
    <w:link w:val="BodyTextIndent"/>
    <w:rsid w:val="004C08F2"/>
    <w:rPr>
      <w:sz w:val="24"/>
      <w:szCs w:val="24"/>
      <w:lang w:val="en-US" w:eastAsia="ko-KR"/>
    </w:rPr>
  </w:style>
  <w:style w:type="paragraph" w:styleId="BodyTextFirstIndent2">
    <w:name w:val="Body Text First Indent 2"/>
    <w:basedOn w:val="BodyTextIndent"/>
    <w:link w:val="BodyTextFirstIndent2Char"/>
    <w:rsid w:val="004C08F2"/>
    <w:pPr>
      <w:spacing w:after="0"/>
      <w:ind w:left="360" w:firstLine="360"/>
    </w:pPr>
    <w:rPr>
      <w:rFonts w:ascii="Arial" w:hAnsi="Arial"/>
    </w:rPr>
  </w:style>
  <w:style w:type="character" w:customStyle="1" w:styleId="BodyTextFirstIndent2Char">
    <w:name w:val="Body Text First Indent 2 Char"/>
    <w:link w:val="BodyTextFirstIndent2"/>
    <w:rsid w:val="004C08F2"/>
    <w:rPr>
      <w:rFonts w:ascii="Arial" w:hAnsi="Arial"/>
      <w:sz w:val="24"/>
      <w:szCs w:val="24"/>
      <w:lang w:val="en-US" w:eastAsia="ko-KR"/>
    </w:rPr>
  </w:style>
  <w:style w:type="character" w:customStyle="1" w:styleId="Heading1Char">
    <w:name w:val="Heading 1 Char"/>
    <w:link w:val="Heading1"/>
    <w:uiPriority w:val="9"/>
    <w:rsid w:val="00031AA5"/>
    <w:rPr>
      <w:rFonts w:ascii="Calibri" w:eastAsia="MS Gothic" w:hAnsi="Calibri" w:cs="Times New Roman"/>
      <w:b/>
      <w:bCs/>
      <w:kern w:val="32"/>
      <w:sz w:val="32"/>
      <w:szCs w:val="32"/>
      <w:lang w:val="en-US" w:eastAsia="ko-KR"/>
    </w:rPr>
  </w:style>
  <w:style w:type="paragraph" w:customStyle="1" w:styleId="CoreLogicPressTitle">
    <w:name w:val="CoreLogic Press Title"/>
    <w:basedOn w:val="Heading1"/>
    <w:qFormat/>
    <w:rsid w:val="00031AA5"/>
    <w:rPr>
      <w:rFonts w:ascii="Arial" w:hAnsi="Arial"/>
    </w:rPr>
  </w:style>
  <w:style w:type="paragraph" w:styleId="ListParagraph">
    <w:name w:val="List Paragraph"/>
    <w:basedOn w:val="Normal"/>
    <w:uiPriority w:val="34"/>
    <w:qFormat/>
    <w:rsid w:val="006F094B"/>
    <w:pPr>
      <w:ind w:left="720"/>
      <w:contextualSpacing/>
    </w:pPr>
  </w:style>
  <w:style w:type="character" w:styleId="Hyperlink">
    <w:name w:val="Hyperlink"/>
    <w:basedOn w:val="DefaultParagraphFont"/>
    <w:uiPriority w:val="99"/>
    <w:unhideWhenUsed/>
    <w:rsid w:val="006F094B"/>
    <w:rPr>
      <w:color w:val="0563C1" w:themeColor="hyperlink"/>
      <w:u w:val="single"/>
    </w:rPr>
  </w:style>
  <w:style w:type="paragraph" w:styleId="NormalWeb">
    <w:name w:val="Normal (Web)"/>
    <w:basedOn w:val="Normal"/>
    <w:uiPriority w:val="99"/>
    <w:unhideWhenUsed/>
    <w:rsid w:val="008367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rsid w:val="00CF2DF3"/>
    <w:rPr>
      <w:sz w:val="16"/>
      <w:szCs w:val="16"/>
    </w:rPr>
  </w:style>
  <w:style w:type="paragraph" w:styleId="CommentText">
    <w:name w:val="annotation text"/>
    <w:basedOn w:val="Normal"/>
    <w:link w:val="CommentTextChar"/>
    <w:rsid w:val="00CF2DF3"/>
    <w:pPr>
      <w:spacing w:line="240" w:lineRule="auto"/>
    </w:pPr>
    <w:rPr>
      <w:sz w:val="20"/>
      <w:szCs w:val="20"/>
    </w:rPr>
  </w:style>
  <w:style w:type="character" w:customStyle="1" w:styleId="CommentTextChar">
    <w:name w:val="Comment Text Char"/>
    <w:basedOn w:val="DefaultParagraphFont"/>
    <w:link w:val="CommentText"/>
    <w:rsid w:val="00CF2DF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CF2DF3"/>
    <w:rPr>
      <w:b/>
      <w:bCs/>
    </w:rPr>
  </w:style>
  <w:style w:type="character" w:customStyle="1" w:styleId="CommentSubjectChar">
    <w:name w:val="Comment Subject Char"/>
    <w:basedOn w:val="CommentTextChar"/>
    <w:link w:val="CommentSubject"/>
    <w:rsid w:val="00CF2DF3"/>
    <w:rPr>
      <w:rFonts w:asciiTheme="minorHAnsi" w:eastAsiaTheme="minorHAnsi" w:hAnsiTheme="minorHAnsi" w:cstheme="minorBidi"/>
      <w:b/>
      <w:bCs/>
      <w:lang w:eastAsia="en-US"/>
    </w:rPr>
  </w:style>
  <w:style w:type="table" w:customStyle="1" w:styleId="1">
    <w:name w:val="1"/>
    <w:basedOn w:val="TableNormal"/>
    <w:rsid w:val="00D91089"/>
    <w:pPr>
      <w:pBdr>
        <w:top w:val="nil"/>
        <w:left w:val="nil"/>
        <w:bottom w:val="nil"/>
        <w:right w:val="nil"/>
        <w:between w:val="nil"/>
      </w:pBdr>
      <w:spacing w:after="160" w:line="259" w:lineRule="auto"/>
    </w:pPr>
    <w:rPr>
      <w:rFonts w:ascii="Calibri" w:eastAsia="Calibri" w:hAnsi="Calibri" w:cs="Calibri"/>
      <w:color w:val="000000"/>
      <w:sz w:val="22"/>
      <w:szCs w:val="22"/>
      <w:lang w:eastAsia="en-NZ"/>
    </w:rPr>
    <w:tblPr>
      <w:tblStyleRowBandSize w:val="1"/>
      <w:tblStyleColBandSize w:val="1"/>
      <w:tblCellMar>
        <w:top w:w="15" w:type="dxa"/>
        <w:left w:w="115" w:type="dxa"/>
        <w:bottom w:w="15" w:type="dxa"/>
        <w:right w:w="115" w:type="dxa"/>
      </w:tblCellMar>
    </w:tblPr>
  </w:style>
  <w:style w:type="character" w:customStyle="1" w:styleId="UnresolvedMention1">
    <w:name w:val="Unresolved Mention1"/>
    <w:basedOn w:val="DefaultParagraphFont"/>
    <w:uiPriority w:val="99"/>
    <w:semiHidden/>
    <w:unhideWhenUsed/>
    <w:rsid w:val="00DA700E"/>
    <w:rPr>
      <w:color w:val="605E5C"/>
      <w:shd w:val="clear" w:color="auto" w:fill="E1DFDD"/>
    </w:rPr>
  </w:style>
  <w:style w:type="character" w:customStyle="1" w:styleId="Heading4Char">
    <w:name w:val="Heading 4 Char"/>
    <w:basedOn w:val="DefaultParagraphFont"/>
    <w:link w:val="Heading4"/>
    <w:semiHidden/>
    <w:rsid w:val="00403EFA"/>
    <w:rPr>
      <w:rFonts w:asciiTheme="majorHAnsi" w:eastAsiaTheme="majorEastAsia" w:hAnsiTheme="majorHAnsi" w:cstheme="majorBidi"/>
      <w:i/>
      <w:iCs/>
      <w:color w:val="2E74B5" w:themeColor="accent1" w:themeShade="BF"/>
      <w:sz w:val="22"/>
      <w:szCs w:val="22"/>
      <w:lang w:eastAsia="en-US"/>
    </w:rPr>
  </w:style>
  <w:style w:type="character" w:customStyle="1" w:styleId="UnresolvedMention2">
    <w:name w:val="Unresolved Mention2"/>
    <w:basedOn w:val="DefaultParagraphFont"/>
    <w:uiPriority w:val="99"/>
    <w:semiHidden/>
    <w:unhideWhenUsed/>
    <w:rsid w:val="00E60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2992">
      <w:bodyDiv w:val="1"/>
      <w:marLeft w:val="0"/>
      <w:marRight w:val="0"/>
      <w:marTop w:val="0"/>
      <w:marBottom w:val="0"/>
      <w:divBdr>
        <w:top w:val="none" w:sz="0" w:space="0" w:color="auto"/>
        <w:left w:val="none" w:sz="0" w:space="0" w:color="auto"/>
        <w:bottom w:val="none" w:sz="0" w:space="0" w:color="auto"/>
        <w:right w:val="none" w:sz="0" w:space="0" w:color="auto"/>
      </w:divBdr>
    </w:div>
    <w:div w:id="227036253">
      <w:bodyDiv w:val="1"/>
      <w:marLeft w:val="0"/>
      <w:marRight w:val="0"/>
      <w:marTop w:val="0"/>
      <w:marBottom w:val="0"/>
      <w:divBdr>
        <w:top w:val="none" w:sz="0" w:space="0" w:color="auto"/>
        <w:left w:val="none" w:sz="0" w:space="0" w:color="auto"/>
        <w:bottom w:val="none" w:sz="0" w:space="0" w:color="auto"/>
        <w:right w:val="none" w:sz="0" w:space="0" w:color="auto"/>
      </w:divBdr>
    </w:div>
    <w:div w:id="446659525">
      <w:bodyDiv w:val="1"/>
      <w:marLeft w:val="0"/>
      <w:marRight w:val="0"/>
      <w:marTop w:val="0"/>
      <w:marBottom w:val="0"/>
      <w:divBdr>
        <w:top w:val="none" w:sz="0" w:space="0" w:color="auto"/>
        <w:left w:val="none" w:sz="0" w:space="0" w:color="auto"/>
        <w:bottom w:val="none" w:sz="0" w:space="0" w:color="auto"/>
        <w:right w:val="none" w:sz="0" w:space="0" w:color="auto"/>
      </w:divBdr>
    </w:div>
    <w:div w:id="593632038">
      <w:bodyDiv w:val="1"/>
      <w:marLeft w:val="0"/>
      <w:marRight w:val="0"/>
      <w:marTop w:val="0"/>
      <w:marBottom w:val="0"/>
      <w:divBdr>
        <w:top w:val="none" w:sz="0" w:space="0" w:color="auto"/>
        <w:left w:val="none" w:sz="0" w:space="0" w:color="auto"/>
        <w:bottom w:val="none" w:sz="0" w:space="0" w:color="auto"/>
        <w:right w:val="none" w:sz="0" w:space="0" w:color="auto"/>
      </w:divBdr>
    </w:div>
    <w:div w:id="922223685">
      <w:bodyDiv w:val="1"/>
      <w:marLeft w:val="0"/>
      <w:marRight w:val="0"/>
      <w:marTop w:val="0"/>
      <w:marBottom w:val="0"/>
      <w:divBdr>
        <w:top w:val="none" w:sz="0" w:space="0" w:color="auto"/>
        <w:left w:val="none" w:sz="0" w:space="0" w:color="auto"/>
        <w:bottom w:val="none" w:sz="0" w:space="0" w:color="auto"/>
        <w:right w:val="none" w:sz="0" w:space="0" w:color="auto"/>
      </w:divBdr>
    </w:div>
    <w:div w:id="996570772">
      <w:bodyDiv w:val="1"/>
      <w:marLeft w:val="0"/>
      <w:marRight w:val="0"/>
      <w:marTop w:val="0"/>
      <w:marBottom w:val="0"/>
      <w:divBdr>
        <w:top w:val="none" w:sz="0" w:space="0" w:color="auto"/>
        <w:left w:val="none" w:sz="0" w:space="0" w:color="auto"/>
        <w:bottom w:val="none" w:sz="0" w:space="0" w:color="auto"/>
        <w:right w:val="none" w:sz="0" w:space="0" w:color="auto"/>
      </w:divBdr>
    </w:div>
    <w:div w:id="1070806871">
      <w:bodyDiv w:val="1"/>
      <w:marLeft w:val="0"/>
      <w:marRight w:val="0"/>
      <w:marTop w:val="0"/>
      <w:marBottom w:val="0"/>
      <w:divBdr>
        <w:top w:val="none" w:sz="0" w:space="0" w:color="auto"/>
        <w:left w:val="none" w:sz="0" w:space="0" w:color="auto"/>
        <w:bottom w:val="none" w:sz="0" w:space="0" w:color="auto"/>
        <w:right w:val="none" w:sz="0" w:space="0" w:color="auto"/>
      </w:divBdr>
    </w:div>
    <w:div w:id="1094284062">
      <w:bodyDiv w:val="1"/>
      <w:marLeft w:val="0"/>
      <w:marRight w:val="0"/>
      <w:marTop w:val="0"/>
      <w:marBottom w:val="0"/>
      <w:divBdr>
        <w:top w:val="none" w:sz="0" w:space="0" w:color="auto"/>
        <w:left w:val="none" w:sz="0" w:space="0" w:color="auto"/>
        <w:bottom w:val="none" w:sz="0" w:space="0" w:color="auto"/>
        <w:right w:val="none" w:sz="0" w:space="0" w:color="auto"/>
      </w:divBdr>
    </w:div>
    <w:div w:id="1728382185">
      <w:bodyDiv w:val="1"/>
      <w:marLeft w:val="0"/>
      <w:marRight w:val="0"/>
      <w:marTop w:val="0"/>
      <w:marBottom w:val="0"/>
      <w:divBdr>
        <w:top w:val="none" w:sz="0" w:space="0" w:color="auto"/>
        <w:left w:val="none" w:sz="0" w:space="0" w:color="auto"/>
        <w:bottom w:val="none" w:sz="0" w:space="0" w:color="auto"/>
        <w:right w:val="none" w:sz="0" w:space="0" w:color="auto"/>
      </w:divBdr>
    </w:div>
    <w:div w:id="1809976020">
      <w:bodyDiv w:val="1"/>
      <w:marLeft w:val="0"/>
      <w:marRight w:val="0"/>
      <w:marTop w:val="0"/>
      <w:marBottom w:val="0"/>
      <w:divBdr>
        <w:top w:val="none" w:sz="0" w:space="0" w:color="auto"/>
        <w:left w:val="none" w:sz="0" w:space="0" w:color="auto"/>
        <w:bottom w:val="none" w:sz="0" w:space="0" w:color="auto"/>
        <w:right w:val="none" w:sz="0" w:space="0" w:color="auto"/>
      </w:divBdr>
    </w:div>
    <w:div w:id="1878464205">
      <w:bodyDiv w:val="1"/>
      <w:marLeft w:val="0"/>
      <w:marRight w:val="0"/>
      <w:marTop w:val="0"/>
      <w:marBottom w:val="0"/>
      <w:divBdr>
        <w:top w:val="none" w:sz="0" w:space="0" w:color="auto"/>
        <w:left w:val="none" w:sz="0" w:space="0" w:color="auto"/>
        <w:bottom w:val="none" w:sz="0" w:space="0" w:color="auto"/>
        <w:right w:val="none" w:sz="0" w:space="0" w:color="auto"/>
      </w:divBdr>
    </w:div>
    <w:div w:id="1885677662">
      <w:bodyDiv w:val="1"/>
      <w:marLeft w:val="0"/>
      <w:marRight w:val="0"/>
      <w:marTop w:val="0"/>
      <w:marBottom w:val="0"/>
      <w:divBdr>
        <w:top w:val="none" w:sz="0" w:space="0" w:color="auto"/>
        <w:left w:val="none" w:sz="0" w:space="0" w:color="auto"/>
        <w:bottom w:val="none" w:sz="0" w:space="0" w:color="auto"/>
        <w:right w:val="none" w:sz="0" w:space="0" w:color="auto"/>
      </w:divBdr>
    </w:div>
    <w:div w:id="1928538860">
      <w:bodyDiv w:val="1"/>
      <w:marLeft w:val="0"/>
      <w:marRight w:val="0"/>
      <w:marTop w:val="0"/>
      <w:marBottom w:val="0"/>
      <w:divBdr>
        <w:top w:val="none" w:sz="0" w:space="0" w:color="auto"/>
        <w:left w:val="none" w:sz="0" w:space="0" w:color="auto"/>
        <w:bottom w:val="none" w:sz="0" w:space="0" w:color="auto"/>
        <w:right w:val="none" w:sz="0" w:space="0" w:color="auto"/>
      </w:divBdr>
    </w:div>
    <w:div w:id="1972590714">
      <w:bodyDiv w:val="1"/>
      <w:marLeft w:val="0"/>
      <w:marRight w:val="0"/>
      <w:marTop w:val="0"/>
      <w:marBottom w:val="0"/>
      <w:divBdr>
        <w:top w:val="none" w:sz="0" w:space="0" w:color="auto"/>
        <w:left w:val="none" w:sz="0" w:space="0" w:color="auto"/>
        <w:bottom w:val="none" w:sz="0" w:space="0" w:color="auto"/>
        <w:right w:val="none" w:sz="0" w:space="0" w:color="auto"/>
      </w:divBdr>
    </w:div>
    <w:div w:id="2096784837">
      <w:bodyDiv w:val="1"/>
      <w:marLeft w:val="0"/>
      <w:marRight w:val="0"/>
      <w:marTop w:val="0"/>
      <w:marBottom w:val="0"/>
      <w:divBdr>
        <w:top w:val="none" w:sz="0" w:space="0" w:color="auto"/>
        <w:left w:val="none" w:sz="0" w:space="0" w:color="auto"/>
        <w:bottom w:val="none" w:sz="0" w:space="0" w:color="auto"/>
        <w:right w:val="none" w:sz="0" w:space="0" w:color="auto"/>
      </w:divBdr>
    </w:div>
    <w:div w:id="211910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mma@alexanderpr.co.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relogic.co.nz" TargetMode="External"/><Relationship Id="rId4" Type="http://schemas.openxmlformats.org/officeDocument/2006/relationships/webSettings" Target="webSettings.xml"/><Relationship Id="rId9" Type="http://schemas.openxmlformats.org/officeDocument/2006/relationships/hyperlink" Target="https://www.corelogic.co.nz/news/introducing-nz-property-market-podcas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per\Documents\TemplateCoreLogicDec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TemplateCoreLogicDec2015.dot</Template>
  <TotalTime>1</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3/2/2010</vt:lpstr>
    </vt:vector>
  </TitlesOfParts>
  <Company>ChromaCreative</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3/2/2010</dc:title>
  <dc:subject/>
  <dc:creator>Michelle McKinnon</dc:creator>
  <cp:keywords/>
  <cp:lastModifiedBy>Mark Ferguson</cp:lastModifiedBy>
  <cp:revision>2</cp:revision>
  <cp:lastPrinted>2021-02-23T19:34:00Z</cp:lastPrinted>
  <dcterms:created xsi:type="dcterms:W3CDTF">2021-06-30T01:16:00Z</dcterms:created>
  <dcterms:modified xsi:type="dcterms:W3CDTF">2021-06-30T01:16:00Z</dcterms:modified>
</cp:coreProperties>
</file>