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071E47" w14:textId="0883FFAB" w:rsidR="004D4DBE" w:rsidRDefault="004D4DBE" w:rsidP="00E60616">
      <w:pPr>
        <w:spacing w:before="240" w:after="0" w:line="276" w:lineRule="auto"/>
        <w:rPr>
          <w:rFonts w:cstheme="minorHAnsi"/>
          <w:b/>
          <w:color w:val="FF0000"/>
        </w:rPr>
      </w:pPr>
      <w:r w:rsidRPr="00A66C67">
        <w:rPr>
          <w:noProof/>
          <w:lang w:eastAsia="en-AU"/>
        </w:rPr>
        <w:drawing>
          <wp:anchor distT="0" distB="0" distL="114300" distR="114300" simplePos="0" relativeHeight="251659264" behindDoc="0" locked="0" layoutInCell="1" allowOverlap="1" wp14:anchorId="7FD056D5" wp14:editId="7B09B0E0">
            <wp:simplePos x="0" y="0"/>
            <wp:positionH relativeFrom="column">
              <wp:posOffset>-6643</wp:posOffset>
            </wp:positionH>
            <wp:positionV relativeFrom="paragraph">
              <wp:posOffset>0</wp:posOffset>
            </wp:positionV>
            <wp:extent cx="1594485" cy="65151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_CL_Vertical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651510"/>
                    </a:xfrm>
                    <a:prstGeom prst="rect">
                      <a:avLst/>
                    </a:prstGeom>
                  </pic:spPr>
                </pic:pic>
              </a:graphicData>
            </a:graphic>
            <wp14:sizeRelH relativeFrom="page">
              <wp14:pctWidth>0</wp14:pctWidth>
            </wp14:sizeRelH>
            <wp14:sizeRelV relativeFrom="page">
              <wp14:pctHeight>0</wp14:pctHeight>
            </wp14:sizeRelV>
          </wp:anchor>
        </w:drawing>
      </w:r>
    </w:p>
    <w:p w14:paraId="358E6259" w14:textId="7325B454" w:rsidR="004D4DBE" w:rsidRDefault="004D4DBE" w:rsidP="00E60616">
      <w:pPr>
        <w:spacing w:before="240" w:after="0" w:line="276" w:lineRule="auto"/>
        <w:rPr>
          <w:rFonts w:cstheme="minorHAnsi"/>
          <w:b/>
          <w:color w:val="FF0000"/>
        </w:rPr>
      </w:pPr>
    </w:p>
    <w:p w14:paraId="291699D7" w14:textId="163C7136" w:rsidR="00A11388" w:rsidRPr="001A33BE" w:rsidRDefault="00D91089" w:rsidP="00A11388">
      <w:pPr>
        <w:spacing w:line="276" w:lineRule="auto"/>
        <w:rPr>
          <w:rFonts w:cstheme="minorHAnsi"/>
          <w:b/>
          <w:color w:val="FF0000"/>
          <w:sz w:val="20"/>
          <w:szCs w:val="20"/>
        </w:rPr>
      </w:pPr>
      <w:r w:rsidRPr="001A33BE">
        <w:rPr>
          <w:rFonts w:cstheme="minorHAnsi"/>
          <w:b/>
          <w:color w:val="FF0000"/>
          <w:sz w:val="20"/>
          <w:szCs w:val="20"/>
        </w:rPr>
        <w:t>Embargoed media release:</w:t>
      </w:r>
      <w:r w:rsidR="00A11388" w:rsidRPr="001A33BE">
        <w:rPr>
          <w:rFonts w:cstheme="minorHAnsi"/>
          <w:b/>
          <w:color w:val="FF0000"/>
          <w:sz w:val="20"/>
          <w:szCs w:val="20"/>
        </w:rPr>
        <w:t xml:space="preserve"> </w:t>
      </w:r>
      <w:r w:rsidR="001A33BE" w:rsidRPr="001A33BE">
        <w:rPr>
          <w:rFonts w:cstheme="minorHAnsi"/>
          <w:b/>
          <w:color w:val="FF0000"/>
          <w:sz w:val="20"/>
          <w:szCs w:val="20"/>
        </w:rPr>
        <w:t>6pm</w:t>
      </w:r>
      <w:r w:rsidR="009335A0" w:rsidRPr="001A33BE">
        <w:rPr>
          <w:rFonts w:cstheme="minorHAnsi"/>
          <w:b/>
          <w:color w:val="FF0000"/>
          <w:sz w:val="20"/>
          <w:szCs w:val="20"/>
        </w:rPr>
        <w:t>,</w:t>
      </w:r>
      <w:r w:rsidR="00772B61" w:rsidRPr="001A33BE">
        <w:rPr>
          <w:rFonts w:cstheme="minorHAnsi"/>
          <w:b/>
          <w:color w:val="FF0000"/>
          <w:sz w:val="20"/>
          <w:szCs w:val="20"/>
        </w:rPr>
        <w:t xml:space="preserve"> </w:t>
      </w:r>
      <w:r w:rsidR="001A33BE" w:rsidRPr="001A33BE">
        <w:rPr>
          <w:rFonts w:cstheme="minorHAnsi"/>
          <w:b/>
          <w:color w:val="FF0000"/>
          <w:sz w:val="20"/>
          <w:szCs w:val="20"/>
        </w:rPr>
        <w:t>Tuesday</w:t>
      </w:r>
      <w:r w:rsidR="006E0543" w:rsidRPr="001A33BE">
        <w:rPr>
          <w:rFonts w:cstheme="minorHAnsi"/>
          <w:b/>
          <w:color w:val="FF0000"/>
          <w:sz w:val="20"/>
          <w:szCs w:val="20"/>
        </w:rPr>
        <w:t>,</w:t>
      </w:r>
      <w:r w:rsidR="00A11388" w:rsidRPr="001A33BE">
        <w:rPr>
          <w:rFonts w:cstheme="minorHAnsi"/>
          <w:b/>
          <w:color w:val="FF0000"/>
          <w:sz w:val="20"/>
          <w:szCs w:val="20"/>
        </w:rPr>
        <w:t xml:space="preserve"> </w:t>
      </w:r>
      <w:r w:rsidR="001A33BE" w:rsidRPr="001A33BE">
        <w:rPr>
          <w:rFonts w:cstheme="minorHAnsi"/>
          <w:b/>
          <w:color w:val="FF0000"/>
          <w:sz w:val="20"/>
          <w:szCs w:val="20"/>
        </w:rPr>
        <w:t>3</w:t>
      </w:r>
      <w:r w:rsidR="001A33BE" w:rsidRPr="001A33BE">
        <w:rPr>
          <w:rFonts w:cstheme="minorHAnsi"/>
          <w:b/>
          <w:color w:val="FF0000"/>
          <w:sz w:val="20"/>
          <w:szCs w:val="20"/>
          <w:vertAlign w:val="superscript"/>
        </w:rPr>
        <w:t>rd</w:t>
      </w:r>
      <w:r w:rsidR="001A33BE" w:rsidRPr="001A33BE">
        <w:rPr>
          <w:rFonts w:cstheme="minorHAnsi"/>
          <w:b/>
          <w:color w:val="FF0000"/>
          <w:sz w:val="20"/>
          <w:szCs w:val="20"/>
        </w:rPr>
        <w:t xml:space="preserve"> August</w:t>
      </w:r>
      <w:r w:rsidR="00A57389" w:rsidRPr="001A33BE">
        <w:rPr>
          <w:rFonts w:cstheme="minorHAnsi"/>
          <w:b/>
          <w:color w:val="FF0000"/>
          <w:sz w:val="20"/>
          <w:szCs w:val="20"/>
        </w:rPr>
        <w:t xml:space="preserve"> 2021</w:t>
      </w:r>
    </w:p>
    <w:p w14:paraId="51A8EDE1" w14:textId="69510886" w:rsidR="001A33BE" w:rsidRPr="001A33BE" w:rsidRDefault="001A33BE" w:rsidP="001A33BE">
      <w:pPr>
        <w:spacing w:before="240" w:after="0" w:line="276" w:lineRule="auto"/>
        <w:jc w:val="center"/>
        <w:rPr>
          <w:rFonts w:eastAsia="Times New Roman" w:cstheme="minorHAnsi"/>
          <w:b/>
          <w:sz w:val="26"/>
          <w:szCs w:val="26"/>
          <w:lang w:eastAsia="en-AU"/>
        </w:rPr>
      </w:pPr>
      <w:r w:rsidRPr="001A33BE">
        <w:rPr>
          <w:rFonts w:eastAsia="Times New Roman" w:cstheme="minorHAnsi"/>
          <w:b/>
          <w:sz w:val="26"/>
          <w:szCs w:val="26"/>
          <w:lang w:eastAsia="en-AU"/>
        </w:rPr>
        <w:t>Market slowdown unfolding gradually as housing market proves stubborn but steady</w:t>
      </w:r>
    </w:p>
    <w:p w14:paraId="74264F74" w14:textId="77777777" w:rsidR="00DF196B" w:rsidRPr="00DF196B" w:rsidRDefault="00DF196B" w:rsidP="00DF196B">
      <w:pPr>
        <w:spacing w:before="240"/>
        <w:rPr>
          <w:iCs/>
        </w:rPr>
      </w:pPr>
      <w:r w:rsidRPr="00DF196B">
        <w:rPr>
          <w:iCs/>
        </w:rPr>
        <w:t>CoreLogic’s House Price Index (HPI), which is the most complete and robust measure of property value change in the market, today showed nationwide values increased by a further 1.8% over July.</w:t>
      </w:r>
    </w:p>
    <w:p w14:paraId="15F13A21" w14:textId="77777777" w:rsidR="00DF196B" w:rsidRPr="00DF196B" w:rsidRDefault="00DF196B" w:rsidP="00DF196B">
      <w:pPr>
        <w:spacing w:before="240"/>
        <w:rPr>
          <w:iCs/>
        </w:rPr>
      </w:pPr>
      <w:r w:rsidRPr="00DF196B">
        <w:rPr>
          <w:iCs/>
        </w:rPr>
        <w:t>This was the same rate of growth recorded in June, but down on both May (2.2%) and April (3.1%), and shows while we’re likely to be past the peak growth rate, a market this size can take some time to slow.</w:t>
      </w:r>
    </w:p>
    <w:p w14:paraId="19527D77" w14:textId="77777777" w:rsidR="00DF196B" w:rsidRPr="00DF196B" w:rsidRDefault="00DF196B" w:rsidP="00DF196B">
      <w:pPr>
        <w:spacing w:before="240"/>
        <w:rPr>
          <w:iCs/>
        </w:rPr>
      </w:pPr>
      <w:r w:rsidRPr="00DF196B">
        <w:rPr>
          <w:iCs/>
        </w:rPr>
        <w:t>Evidence of the strong momentum in the market could also be seen in the latest RBNZ lending data where new residential mortgage lending remains elevated compared to the long-run average prior to the pandemic, which hit our shores in March 2020. The total value of new mortgage commitments in June 2021 was $8.5b, well above the two-year average to February 2020 of $5.6b.</w:t>
      </w:r>
    </w:p>
    <w:p w14:paraId="43BB534E" w14:textId="77777777" w:rsidR="00DF196B" w:rsidRPr="00DF196B" w:rsidRDefault="00DF196B" w:rsidP="00DF196B">
      <w:pPr>
        <w:spacing w:before="240"/>
        <w:rPr>
          <w:iCs/>
        </w:rPr>
      </w:pPr>
      <w:r w:rsidRPr="00DF196B">
        <w:rPr>
          <w:iCs/>
        </w:rPr>
        <w:t>Nick Goodall, CoreLogic NZ’s Head of Research says: “The exceptional rate of growth witnessed following the economic recovery after the pandemic-induced lockdown was not sustainable. However with an asset class the size of the residential property market, which now exceeds $1.54Tn and remains attractive due to still-low interest rates, any slowdown was destined to be gradual.</w:t>
      </w:r>
    </w:p>
    <w:p w14:paraId="0AD196EB" w14:textId="77777777" w:rsidR="00DF196B" w:rsidRPr="00DF196B" w:rsidRDefault="00DF196B" w:rsidP="00DF196B">
      <w:pPr>
        <w:spacing w:before="240"/>
        <w:rPr>
          <w:iCs/>
        </w:rPr>
      </w:pPr>
      <w:r w:rsidRPr="00DF196B">
        <w:rPr>
          <w:iCs/>
        </w:rPr>
        <w:t>“Despite some investors unable or unwilling to remain active in the market, a strong pipeline of equity-rich investors, previously unsuccessful first home buyers and other owner occupiers who remained patient are now taking this opportunity to seize on low interest rates before they lift any further,” says Mr Goodall.</w:t>
      </w:r>
    </w:p>
    <w:p w14:paraId="75BE5866" w14:textId="77777777" w:rsidR="00DF196B" w:rsidRPr="00DF196B" w:rsidRDefault="00DF196B" w:rsidP="00DF196B">
      <w:pPr>
        <w:spacing w:before="240"/>
        <w:rPr>
          <w:iCs/>
        </w:rPr>
      </w:pPr>
      <w:r w:rsidRPr="00DF196B">
        <w:rPr>
          <w:iCs/>
        </w:rPr>
        <w:t>Analysing the CoreLogic HPI quarterly change in values, the slowdown becomes very apparent, with the nationwide growth figure dropping from 7.2% at the end of June to 5.9% at the end of July. This trend of deceleration is also clear across almost all main urban areas.</w:t>
      </w:r>
    </w:p>
    <w:p w14:paraId="23D0084C" w14:textId="77777777" w:rsidR="00DF196B" w:rsidRPr="00DF196B" w:rsidRDefault="00DF196B" w:rsidP="00DF196B">
      <w:pPr>
        <w:spacing w:before="240"/>
        <w:rPr>
          <w:iCs/>
        </w:rPr>
      </w:pPr>
      <w:r w:rsidRPr="00DF196B">
        <w:rPr>
          <w:iCs/>
        </w:rPr>
        <w:t xml:space="preserve">Property values in </w:t>
      </w:r>
      <w:r w:rsidRPr="00DF196B">
        <w:rPr>
          <w:b/>
          <w:iCs/>
        </w:rPr>
        <w:t>Gisborne</w:t>
      </w:r>
      <w:r w:rsidRPr="00DF196B">
        <w:rPr>
          <w:iCs/>
        </w:rPr>
        <w:t xml:space="preserve"> increased by 2.1% over the last three months. This is the lowest quarterly growth rate since August 2020 (-0.2%) when uncertainty still remained regarding potential COVID-19 lockdowns, and is significantly lower than the 10.2% growth witnessed over the three months to the end of June 2021.</w:t>
      </w:r>
    </w:p>
    <w:p w14:paraId="2D7FA7C6" w14:textId="77777777" w:rsidR="00DF196B" w:rsidRPr="00DF196B" w:rsidRDefault="00DF196B" w:rsidP="00DF196B">
      <w:pPr>
        <w:spacing w:before="240"/>
        <w:rPr>
          <w:iCs/>
        </w:rPr>
      </w:pPr>
      <w:r w:rsidRPr="00DF196B">
        <w:rPr>
          <w:iCs/>
        </w:rPr>
        <w:t xml:space="preserve">Other centres seeing a significant reduction in the rate of quarterly growth at the end of July include </w:t>
      </w:r>
      <w:r w:rsidRPr="00DF196B">
        <w:rPr>
          <w:b/>
          <w:iCs/>
        </w:rPr>
        <w:t>Kapiti Coast District</w:t>
      </w:r>
      <w:r w:rsidRPr="00DF196B">
        <w:rPr>
          <w:iCs/>
        </w:rPr>
        <w:t xml:space="preserve"> (3.3%, down from 10.6% at the end of June), </w:t>
      </w:r>
      <w:r w:rsidRPr="00DF196B">
        <w:rPr>
          <w:b/>
          <w:iCs/>
        </w:rPr>
        <w:t>Rotorua</w:t>
      </w:r>
      <w:r w:rsidRPr="00DF196B">
        <w:rPr>
          <w:iCs/>
        </w:rPr>
        <w:t xml:space="preserve"> (1.9%, down from 6.9%) and </w:t>
      </w:r>
      <w:r w:rsidRPr="00DF196B">
        <w:rPr>
          <w:b/>
          <w:iCs/>
        </w:rPr>
        <w:t>Napier</w:t>
      </w:r>
      <w:r w:rsidRPr="00DF196B">
        <w:rPr>
          <w:iCs/>
        </w:rPr>
        <w:t xml:space="preserve"> (2.8%, down from 7.1%).</w:t>
      </w:r>
    </w:p>
    <w:p w14:paraId="0D454A1B" w14:textId="77777777" w:rsidR="00DF196B" w:rsidRPr="00DF196B" w:rsidRDefault="00DF196B" w:rsidP="00DF196B">
      <w:pPr>
        <w:spacing w:before="240"/>
        <w:rPr>
          <w:iCs/>
        </w:rPr>
      </w:pPr>
      <w:r w:rsidRPr="00DF196B">
        <w:rPr>
          <w:iCs/>
        </w:rPr>
        <w:t xml:space="preserve">The only city to experience a lift in quarterly growth was </w:t>
      </w:r>
      <w:r w:rsidRPr="00DF196B">
        <w:rPr>
          <w:b/>
          <w:iCs/>
        </w:rPr>
        <w:t>Nelson</w:t>
      </w:r>
      <w:r w:rsidRPr="00DF196B">
        <w:rPr>
          <w:iCs/>
        </w:rPr>
        <w:t xml:space="preserve">, with 5.0% growth to the end of July, up from 4.8% for the three months to the end of June. </w:t>
      </w:r>
    </w:p>
    <w:p w14:paraId="7018873C" w14:textId="77777777" w:rsidR="00DF196B" w:rsidRPr="00DF196B" w:rsidRDefault="00DF196B" w:rsidP="00DF196B">
      <w:pPr>
        <w:spacing w:before="240"/>
        <w:rPr>
          <w:iCs/>
        </w:rPr>
      </w:pPr>
      <w:r w:rsidRPr="00DF196B">
        <w:rPr>
          <w:iCs/>
        </w:rPr>
        <w:t xml:space="preserve">Meanwhile the annual growth rate in </w:t>
      </w:r>
      <w:r w:rsidRPr="00DF196B">
        <w:rPr>
          <w:b/>
          <w:iCs/>
        </w:rPr>
        <w:t>Whanganui</w:t>
      </w:r>
      <w:r w:rsidRPr="00DF196B">
        <w:rPr>
          <w:iCs/>
        </w:rPr>
        <w:t xml:space="preserve"> exceeded 40% at the end of July, the fastest rate of growth since September 2005 when the average value was $165,000. The average value now exceeds $500,000. While the quarterly change in values has started decelerating, the prolonged period of value increases over the past 12 months is still evident in the annual measure and current average value.</w:t>
      </w:r>
    </w:p>
    <w:p w14:paraId="309C12F8" w14:textId="77777777" w:rsidR="00DF196B" w:rsidRPr="00DF196B" w:rsidRDefault="00DF196B" w:rsidP="00DF196B">
      <w:pPr>
        <w:spacing w:before="240"/>
        <w:rPr>
          <w:iCs/>
        </w:rPr>
      </w:pPr>
      <w:r w:rsidRPr="00DF196B">
        <w:rPr>
          <w:iCs/>
        </w:rPr>
        <w:t xml:space="preserve">The 6.1% quarterly growth experienced in </w:t>
      </w:r>
      <w:r w:rsidRPr="00DF196B">
        <w:rPr>
          <w:b/>
          <w:iCs/>
        </w:rPr>
        <w:t>Hamilton</w:t>
      </w:r>
      <w:r w:rsidRPr="00DF196B">
        <w:rPr>
          <w:iCs/>
        </w:rPr>
        <w:t xml:space="preserve"> is still strong, however it is a noticeable drop from the double digit increase in the three months to the end of June. </w:t>
      </w:r>
    </w:p>
    <w:p w14:paraId="74DFFD0D" w14:textId="77777777" w:rsidR="00DF196B" w:rsidRPr="00DF196B" w:rsidRDefault="00DF196B" w:rsidP="00DF196B">
      <w:pPr>
        <w:spacing w:before="240"/>
        <w:rPr>
          <w:iCs/>
        </w:rPr>
      </w:pPr>
      <w:r w:rsidRPr="00DF196B">
        <w:rPr>
          <w:iCs/>
        </w:rPr>
        <w:lastRenderedPageBreak/>
        <w:t xml:space="preserve">Speaking on the main centres, Mr Goodall says: “The slowest rate of growth among our largest six cities was </w:t>
      </w:r>
      <w:r w:rsidRPr="00DF196B">
        <w:rPr>
          <w:b/>
          <w:iCs/>
        </w:rPr>
        <w:t>Dunedin</w:t>
      </w:r>
      <w:r w:rsidRPr="00DF196B">
        <w:rPr>
          <w:iCs/>
        </w:rPr>
        <w:t xml:space="preserve"> with an increase of 4.5% in the three months to the end of July. Property values have more than doubled there in the last six years, rising from $296,000 in July 2015 to $646,000 today. However we’re starting to see sales turnover in Dunedin slowing, with 30% fewer sales in June 2021 than in June 2020. Meanwhile, sales transactions in all other main centres were at least on par with the previous year and in Hamilton’s case, up 19%. </w:t>
      </w:r>
    </w:p>
    <w:p w14:paraId="7BACEFE7" w14:textId="77777777" w:rsidR="00DF196B" w:rsidRPr="00DF196B" w:rsidRDefault="00DF196B" w:rsidP="00DF196B">
      <w:pPr>
        <w:spacing w:before="240"/>
        <w:rPr>
          <w:iCs/>
        </w:rPr>
      </w:pPr>
      <w:r w:rsidRPr="00DF196B">
        <w:rPr>
          <w:iCs/>
        </w:rPr>
        <w:t>“This could be a reflection of the deterioration in affordability for property in the ‘Edinburgh of the South’. According to CoreLogic’s ‘years to save a deposit’ affordability measure, Dunedin has gone from being the most affordable main centre for new market entrants in 2015 to equal third with Hamilton, behind Christchurch and Wellington,” says Mr Goodall.</w:t>
      </w:r>
    </w:p>
    <w:p w14:paraId="735289A6" w14:textId="77777777" w:rsidR="00DF196B" w:rsidRPr="00DF196B" w:rsidRDefault="00DF196B" w:rsidP="00DF196B">
      <w:pPr>
        <w:spacing w:before="240"/>
        <w:rPr>
          <w:iCs/>
        </w:rPr>
      </w:pPr>
      <w:r w:rsidRPr="00DF196B">
        <w:rPr>
          <w:iCs/>
        </w:rPr>
        <w:t xml:space="preserve">Dunedin is also bucking a trend seen over recent months of historically low listings. Mr Goodall explains: “Low listings can have a suppressive effect on sales volumes, however in Dunedin in July there were 21% </w:t>
      </w:r>
      <w:r w:rsidRPr="00DF196B">
        <w:rPr>
          <w:i/>
          <w:iCs/>
        </w:rPr>
        <w:t>more</w:t>
      </w:r>
      <w:r w:rsidRPr="00DF196B">
        <w:rPr>
          <w:iCs/>
        </w:rPr>
        <w:t xml:space="preserve"> properties listed for sale than the same time in 2019, while all other main centres still remain at least 30% </w:t>
      </w:r>
      <w:r w:rsidRPr="00DF196B">
        <w:rPr>
          <w:i/>
          <w:iCs/>
        </w:rPr>
        <w:t xml:space="preserve">below </w:t>
      </w:r>
      <w:r w:rsidRPr="00DF196B">
        <w:rPr>
          <w:iCs/>
        </w:rPr>
        <w:t>levels seen in 2019.</w:t>
      </w:r>
    </w:p>
    <w:p w14:paraId="4A3A7CB7" w14:textId="77777777" w:rsidR="00DF196B" w:rsidRPr="00DF196B" w:rsidRDefault="00DF196B" w:rsidP="00DF196B">
      <w:pPr>
        <w:spacing w:before="240"/>
        <w:rPr>
          <w:iCs/>
        </w:rPr>
      </w:pPr>
      <w:r w:rsidRPr="00DF196B">
        <w:rPr>
          <w:iCs/>
        </w:rPr>
        <w:t>“This is probably the strongest sign yet of a swing in demand and supply back towards the buyer, and with yields being squeezed by increasing interest rates alongside tighter investor regulation, it would be understandable if investors were calling time on paying the current prices being advertised.</w:t>
      </w:r>
    </w:p>
    <w:p w14:paraId="42DD75B5" w14:textId="77777777" w:rsidR="00DF196B" w:rsidRPr="00DF196B" w:rsidRDefault="00DF196B" w:rsidP="00DF196B">
      <w:pPr>
        <w:spacing w:before="240"/>
        <w:rPr>
          <w:iCs/>
        </w:rPr>
      </w:pPr>
      <w:r w:rsidRPr="00DF196B">
        <w:rPr>
          <w:iCs/>
        </w:rPr>
        <w:t>“It’s these measures, alongside other economic indicators which could provide the best read on what values do throughout the rest of the year and into 2022. Expectations of a lift in the OCR are increasing every day, and while higher interest rates on their own don’t tend to cause values to drop, the RBNZ will be mindful of the potential impact to highly indebted recent buyers,” says Mr Goodall.</w:t>
      </w:r>
    </w:p>
    <w:p w14:paraId="672E435E" w14:textId="77777777" w:rsidR="00DF196B" w:rsidRPr="00DF196B" w:rsidRDefault="00DF196B" w:rsidP="00DF196B">
      <w:pPr>
        <w:spacing w:before="240"/>
        <w:rPr>
          <w:iCs/>
        </w:rPr>
      </w:pPr>
      <w:r w:rsidRPr="00DF196B">
        <w:rPr>
          <w:iCs/>
        </w:rPr>
        <w:t>As the RBNZ carefully considers its upcoming OCR decision on August 18, Goodall says it may take some comfort in the resilience of the country’s housing values.</w:t>
      </w:r>
    </w:p>
    <w:p w14:paraId="0BD2446C" w14:textId="31176B00" w:rsidR="00DF196B" w:rsidRPr="00DF196B" w:rsidRDefault="00DF196B" w:rsidP="00DF196B">
      <w:pPr>
        <w:spacing w:before="240"/>
        <w:rPr>
          <w:iCs/>
        </w:rPr>
      </w:pPr>
      <w:r w:rsidRPr="00DF196B">
        <w:rPr>
          <w:iCs/>
        </w:rPr>
        <w:t>“With the market still growing, albeit at a slower pace, this may give the RBNZ a level of comfort to lift the OCR without major concern of it having too negative an effect on values. In conjunction with expected strong labour market figures due out on Wednesday, including a probable drop in the unemployment rate for Q2 to at least 4.5% (from the current figure of 4.7%), an OCR increase looks almost certain. The RBNZ longer term will probably be cautious of lifting too far too soon, and we expect they will take their time to assess how Q3 plays out before any big movements in spring.”</w:t>
      </w:r>
    </w:p>
    <w:p w14:paraId="6DE91005" w14:textId="37C6ADD5" w:rsidR="00A277E3" w:rsidRDefault="0010791C" w:rsidP="00A277E3">
      <w:pPr>
        <w:spacing w:before="240" w:after="0" w:line="276" w:lineRule="auto"/>
        <w:rPr>
          <w:rFonts w:cstheme="minorHAnsi"/>
          <w:sz w:val="24"/>
          <w:szCs w:val="24"/>
        </w:rPr>
      </w:pPr>
      <w:r w:rsidRPr="004D4DBE">
        <w:rPr>
          <w:rFonts w:cstheme="minorHAnsi"/>
          <w:b/>
          <w:sz w:val="24"/>
          <w:szCs w:val="24"/>
        </w:rPr>
        <w:t>Highlights from the CoreLogic HPI</w:t>
      </w:r>
      <w:r w:rsidR="001A33BE">
        <w:rPr>
          <w:rFonts w:cstheme="minorHAnsi"/>
          <w:b/>
          <w:sz w:val="24"/>
          <w:szCs w:val="24"/>
        </w:rPr>
        <w:t xml:space="preserve"> for July 2021</w:t>
      </w:r>
      <w:r w:rsidRPr="004D4DBE">
        <w:rPr>
          <w:rFonts w:cstheme="minorHAnsi"/>
          <w:b/>
          <w:sz w:val="24"/>
          <w:szCs w:val="24"/>
        </w:rPr>
        <w:t>:</w:t>
      </w:r>
    </w:p>
    <w:p w14:paraId="1C802D7F" w14:textId="7101165F" w:rsidR="001A33BE" w:rsidRPr="001A33BE" w:rsidRDefault="004D4DBE" w:rsidP="001A33BE">
      <w:pPr>
        <w:spacing w:before="240" w:line="276" w:lineRule="auto"/>
        <w:rPr>
          <w:b/>
          <w:lang w:val="en-US"/>
        </w:rPr>
      </w:pPr>
      <w:r w:rsidRPr="004D4DBE">
        <w:rPr>
          <w:b/>
          <w:lang w:val="en-US"/>
        </w:rPr>
        <w:t xml:space="preserve">National and Main </w:t>
      </w:r>
      <w:proofErr w:type="spellStart"/>
      <w:r w:rsidRPr="004D4DBE">
        <w:rPr>
          <w:b/>
          <w:lang w:val="en-US"/>
        </w:rPr>
        <w:t>Centres</w:t>
      </w:r>
      <w:proofErr w:type="spellEnd"/>
    </w:p>
    <w:tbl>
      <w:tblPr>
        <w:tblW w:w="5529" w:type="dxa"/>
        <w:tblLayout w:type="fixed"/>
        <w:tblLook w:val="04A0" w:firstRow="1" w:lastRow="0" w:firstColumn="1" w:lastColumn="0" w:noHBand="0" w:noVBand="1"/>
      </w:tblPr>
      <w:tblGrid>
        <w:gridCol w:w="1418"/>
        <w:gridCol w:w="850"/>
        <w:gridCol w:w="993"/>
        <w:gridCol w:w="992"/>
        <w:gridCol w:w="1276"/>
      </w:tblGrid>
      <w:tr w:rsidR="001A33BE" w:rsidRPr="00CD0871" w14:paraId="483D0482" w14:textId="77777777" w:rsidTr="001A33BE">
        <w:trPr>
          <w:trHeight w:val="600"/>
        </w:trPr>
        <w:tc>
          <w:tcPr>
            <w:tcW w:w="1418" w:type="dxa"/>
            <w:tcBorders>
              <w:top w:val="nil"/>
              <w:left w:val="nil"/>
              <w:bottom w:val="nil"/>
              <w:right w:val="nil"/>
            </w:tcBorders>
            <w:shd w:val="clear" w:color="000000" w:fill="3899D5"/>
            <w:noWrap/>
            <w:vAlign w:val="bottom"/>
            <w:hideMark/>
          </w:tcPr>
          <w:p w14:paraId="7C5E241F" w14:textId="77777777" w:rsidR="001A33BE" w:rsidRPr="001A33BE" w:rsidRDefault="001A33BE" w:rsidP="00F61E15">
            <w:pPr>
              <w:spacing w:after="0" w:line="240" w:lineRule="auto"/>
              <w:rPr>
                <w:rFonts w:eastAsia="Times New Roman"/>
                <w:b/>
                <w:color w:val="FFFFFF"/>
                <w:lang w:eastAsia="en-AU"/>
              </w:rPr>
            </w:pPr>
            <w:r w:rsidRPr="001A33BE">
              <w:rPr>
                <w:rFonts w:eastAsia="Times New Roman"/>
                <w:b/>
                <w:color w:val="FFFFFF"/>
                <w:lang w:eastAsia="en-AU"/>
              </w:rPr>
              <w:t> </w:t>
            </w:r>
          </w:p>
        </w:tc>
        <w:tc>
          <w:tcPr>
            <w:tcW w:w="2835" w:type="dxa"/>
            <w:gridSpan w:val="3"/>
            <w:tcBorders>
              <w:top w:val="nil"/>
              <w:left w:val="nil"/>
              <w:bottom w:val="nil"/>
              <w:right w:val="nil"/>
            </w:tcBorders>
            <w:shd w:val="clear" w:color="000000" w:fill="3899D5"/>
            <w:vAlign w:val="center"/>
            <w:hideMark/>
          </w:tcPr>
          <w:p w14:paraId="429CA1F0" w14:textId="77777777" w:rsidR="001A33BE" w:rsidRPr="001A33BE" w:rsidRDefault="001A33BE" w:rsidP="00F61E15">
            <w:pPr>
              <w:spacing w:after="0" w:line="240" w:lineRule="auto"/>
              <w:jc w:val="center"/>
              <w:rPr>
                <w:rFonts w:eastAsia="Times New Roman"/>
                <w:b/>
                <w:color w:val="FFFFFF"/>
                <w:lang w:eastAsia="en-AU"/>
              </w:rPr>
            </w:pPr>
            <w:r w:rsidRPr="001A33BE">
              <w:rPr>
                <w:rFonts w:eastAsia="Times New Roman"/>
                <w:b/>
                <w:color w:val="FFFFFF"/>
                <w:lang w:eastAsia="en-AU"/>
              </w:rPr>
              <w:t>Change in property values</w:t>
            </w:r>
          </w:p>
        </w:tc>
        <w:tc>
          <w:tcPr>
            <w:tcW w:w="1276" w:type="dxa"/>
            <w:vMerge w:val="restart"/>
            <w:tcBorders>
              <w:top w:val="nil"/>
              <w:left w:val="nil"/>
              <w:bottom w:val="nil"/>
              <w:right w:val="nil"/>
            </w:tcBorders>
            <w:shd w:val="clear" w:color="000000" w:fill="3899D5"/>
            <w:vAlign w:val="center"/>
            <w:hideMark/>
          </w:tcPr>
          <w:p w14:paraId="0DFD4497" w14:textId="77777777" w:rsidR="001A33BE" w:rsidRPr="001A33BE" w:rsidRDefault="001A33BE" w:rsidP="00F61E15">
            <w:pPr>
              <w:spacing w:after="0" w:line="240" w:lineRule="auto"/>
              <w:jc w:val="center"/>
              <w:rPr>
                <w:rFonts w:eastAsia="Times New Roman"/>
                <w:b/>
                <w:color w:val="FFFFFF"/>
                <w:lang w:eastAsia="en-AU"/>
              </w:rPr>
            </w:pPr>
            <w:r w:rsidRPr="001A33BE">
              <w:rPr>
                <w:rFonts w:eastAsia="Times New Roman"/>
                <w:b/>
                <w:color w:val="FFFFFF"/>
                <w:lang w:eastAsia="en-AU"/>
              </w:rPr>
              <w:t>Average Value</w:t>
            </w:r>
          </w:p>
        </w:tc>
      </w:tr>
      <w:tr w:rsidR="001A33BE" w:rsidRPr="00CD0871" w14:paraId="5B94A0AB" w14:textId="77777777" w:rsidTr="001A33BE">
        <w:trPr>
          <w:trHeight w:val="300"/>
        </w:trPr>
        <w:tc>
          <w:tcPr>
            <w:tcW w:w="1418" w:type="dxa"/>
            <w:tcBorders>
              <w:top w:val="nil"/>
              <w:left w:val="nil"/>
              <w:bottom w:val="single" w:sz="4" w:space="0" w:color="auto"/>
              <w:right w:val="nil"/>
            </w:tcBorders>
            <w:shd w:val="clear" w:color="000000" w:fill="3899D5"/>
            <w:noWrap/>
            <w:vAlign w:val="bottom"/>
            <w:hideMark/>
          </w:tcPr>
          <w:p w14:paraId="67E2DD25" w14:textId="77777777" w:rsidR="001A33BE" w:rsidRPr="001A33BE" w:rsidRDefault="001A33BE" w:rsidP="00F61E15">
            <w:pPr>
              <w:spacing w:after="0"/>
              <w:rPr>
                <w:rFonts w:eastAsia="Times New Roman"/>
                <w:b/>
                <w:color w:val="FFFFFF"/>
                <w:lang w:eastAsia="en-AU"/>
              </w:rPr>
            </w:pPr>
            <w:r w:rsidRPr="001A33BE">
              <w:rPr>
                <w:rFonts w:eastAsia="Times New Roman"/>
                <w:b/>
                <w:color w:val="FFFFFF"/>
                <w:lang w:eastAsia="en-AU"/>
              </w:rPr>
              <w:t> </w:t>
            </w:r>
          </w:p>
        </w:tc>
        <w:tc>
          <w:tcPr>
            <w:tcW w:w="850" w:type="dxa"/>
            <w:tcBorders>
              <w:top w:val="nil"/>
              <w:left w:val="nil"/>
              <w:bottom w:val="single" w:sz="4" w:space="0" w:color="auto"/>
              <w:right w:val="nil"/>
            </w:tcBorders>
            <w:shd w:val="clear" w:color="000000" w:fill="3899D5"/>
            <w:noWrap/>
            <w:vAlign w:val="center"/>
            <w:hideMark/>
          </w:tcPr>
          <w:p w14:paraId="054AC031" w14:textId="77777777" w:rsidR="001A33BE" w:rsidRPr="001A33BE" w:rsidRDefault="001A33BE" w:rsidP="00F61E15">
            <w:pPr>
              <w:spacing w:after="0"/>
              <w:jc w:val="center"/>
              <w:rPr>
                <w:rFonts w:eastAsia="Times New Roman"/>
                <w:b/>
                <w:color w:val="FFFFFF"/>
                <w:lang w:eastAsia="en-AU"/>
              </w:rPr>
            </w:pPr>
            <w:r w:rsidRPr="001A33BE">
              <w:rPr>
                <w:rFonts w:eastAsia="Times New Roman"/>
                <w:b/>
                <w:color w:val="FFFFFF"/>
                <w:lang w:eastAsia="en-AU"/>
              </w:rPr>
              <w:t>Month</w:t>
            </w:r>
          </w:p>
        </w:tc>
        <w:tc>
          <w:tcPr>
            <w:tcW w:w="993" w:type="dxa"/>
            <w:tcBorders>
              <w:top w:val="nil"/>
              <w:left w:val="nil"/>
              <w:bottom w:val="single" w:sz="4" w:space="0" w:color="auto"/>
              <w:right w:val="nil"/>
            </w:tcBorders>
            <w:shd w:val="clear" w:color="000000" w:fill="3899D5"/>
            <w:noWrap/>
            <w:vAlign w:val="center"/>
            <w:hideMark/>
          </w:tcPr>
          <w:p w14:paraId="1FBBD2EC" w14:textId="77777777" w:rsidR="001A33BE" w:rsidRPr="001A33BE" w:rsidRDefault="001A33BE" w:rsidP="00F61E15">
            <w:pPr>
              <w:spacing w:after="0"/>
              <w:jc w:val="center"/>
              <w:rPr>
                <w:rFonts w:eastAsia="Times New Roman"/>
                <w:b/>
                <w:color w:val="FFFFFF"/>
                <w:lang w:eastAsia="en-AU"/>
              </w:rPr>
            </w:pPr>
            <w:r w:rsidRPr="001A33BE">
              <w:rPr>
                <w:rFonts w:eastAsia="Times New Roman"/>
                <w:b/>
                <w:color w:val="FFFFFF"/>
                <w:lang w:eastAsia="en-AU"/>
              </w:rPr>
              <w:t>Quarter</w:t>
            </w:r>
          </w:p>
        </w:tc>
        <w:tc>
          <w:tcPr>
            <w:tcW w:w="992" w:type="dxa"/>
            <w:tcBorders>
              <w:top w:val="nil"/>
              <w:left w:val="nil"/>
              <w:bottom w:val="single" w:sz="4" w:space="0" w:color="auto"/>
              <w:right w:val="nil"/>
            </w:tcBorders>
            <w:shd w:val="clear" w:color="000000" w:fill="3899D5"/>
            <w:noWrap/>
            <w:vAlign w:val="center"/>
            <w:hideMark/>
          </w:tcPr>
          <w:p w14:paraId="03976747" w14:textId="77777777" w:rsidR="001A33BE" w:rsidRPr="001A33BE" w:rsidRDefault="001A33BE" w:rsidP="00F61E15">
            <w:pPr>
              <w:spacing w:after="0"/>
              <w:jc w:val="center"/>
              <w:rPr>
                <w:rFonts w:eastAsia="Times New Roman"/>
                <w:b/>
                <w:color w:val="FFFFFF"/>
                <w:lang w:eastAsia="en-AU"/>
              </w:rPr>
            </w:pPr>
            <w:r w:rsidRPr="001A33BE">
              <w:rPr>
                <w:rFonts w:eastAsia="Times New Roman"/>
                <w:b/>
                <w:color w:val="FFFFFF"/>
                <w:lang w:eastAsia="en-AU"/>
              </w:rPr>
              <w:t>Annual</w:t>
            </w:r>
          </w:p>
        </w:tc>
        <w:tc>
          <w:tcPr>
            <w:tcW w:w="1276" w:type="dxa"/>
            <w:vMerge/>
            <w:tcBorders>
              <w:top w:val="nil"/>
              <w:left w:val="nil"/>
              <w:bottom w:val="single" w:sz="4" w:space="0" w:color="auto"/>
              <w:right w:val="nil"/>
            </w:tcBorders>
            <w:vAlign w:val="center"/>
            <w:hideMark/>
          </w:tcPr>
          <w:p w14:paraId="6261C377" w14:textId="77777777" w:rsidR="001A33BE" w:rsidRPr="001A33BE" w:rsidRDefault="001A33BE" w:rsidP="00F61E15">
            <w:pPr>
              <w:spacing w:after="0"/>
              <w:rPr>
                <w:rFonts w:eastAsia="Times New Roman"/>
                <w:b/>
                <w:color w:val="FFFFFF"/>
                <w:lang w:eastAsia="en-AU"/>
              </w:rPr>
            </w:pPr>
          </w:p>
        </w:tc>
      </w:tr>
      <w:tr w:rsidR="001A33BE" w:rsidRPr="00CD0871" w14:paraId="776336D5" w14:textId="77777777" w:rsidTr="001A33BE">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E4A44C" w14:textId="77777777" w:rsidR="001A33BE" w:rsidRPr="00CD0871" w:rsidRDefault="001A33BE" w:rsidP="00F61E15">
            <w:pPr>
              <w:spacing w:after="0" w:line="240" w:lineRule="auto"/>
              <w:rPr>
                <w:rFonts w:eastAsia="Times New Roman"/>
                <w:color w:val="000000"/>
                <w:lang w:eastAsia="en-AU"/>
              </w:rPr>
            </w:pPr>
            <w:r w:rsidRPr="00CD0871">
              <w:rPr>
                <w:rFonts w:eastAsia="Times New Roman"/>
                <w:color w:val="000000"/>
                <w:lang w:eastAsia="en-AU"/>
              </w:rPr>
              <w:t>New Zealand</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17FF231"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1.8%</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7B21F0"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5.9%</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2D1A963"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24.8%</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05C1374"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$922,421</w:t>
            </w:r>
          </w:p>
        </w:tc>
      </w:tr>
      <w:tr w:rsidR="001A33BE" w:rsidRPr="00CD0871" w14:paraId="637D0839" w14:textId="77777777" w:rsidTr="001A33BE">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8FDC486" w14:textId="77777777" w:rsidR="001A33BE" w:rsidRPr="00CD0871" w:rsidRDefault="001A33BE" w:rsidP="00F61E15">
            <w:pPr>
              <w:spacing w:after="0" w:line="240" w:lineRule="auto"/>
              <w:rPr>
                <w:rFonts w:eastAsia="Times New Roman"/>
                <w:color w:val="000000"/>
                <w:lang w:eastAsia="en-AU"/>
              </w:rPr>
            </w:pPr>
            <w:r w:rsidRPr="00CD0871">
              <w:rPr>
                <w:rFonts w:eastAsia="Times New Roman"/>
                <w:color w:val="000000"/>
                <w:lang w:eastAsia="en-AU"/>
              </w:rPr>
              <w:t>Auckland</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A692CDC"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2.1%</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FEAD39B"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5.0%</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EC4B96C"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21.6%</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C0A5573"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$1,310,305</w:t>
            </w:r>
          </w:p>
        </w:tc>
      </w:tr>
      <w:tr w:rsidR="001A33BE" w:rsidRPr="00CD0871" w14:paraId="005667CA" w14:textId="77777777" w:rsidTr="001A33B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15ED4" w14:textId="77777777" w:rsidR="001A33BE" w:rsidRPr="00CD0871" w:rsidRDefault="001A33BE" w:rsidP="00F61E15">
            <w:pPr>
              <w:spacing w:after="0" w:line="240" w:lineRule="auto"/>
              <w:rPr>
                <w:rFonts w:eastAsia="Times New Roman"/>
                <w:color w:val="000000"/>
                <w:lang w:eastAsia="en-AU"/>
              </w:rPr>
            </w:pPr>
            <w:r w:rsidRPr="00CD0871">
              <w:rPr>
                <w:rFonts w:eastAsia="Times New Roman"/>
                <w:color w:val="000000"/>
                <w:lang w:eastAsia="en-AU"/>
              </w:rPr>
              <w:t>Hamilton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FC8FB"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0.4%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DF01D"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8BD0"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D6707"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$805,503</w:t>
            </w:r>
          </w:p>
        </w:tc>
      </w:tr>
      <w:tr w:rsidR="001A33BE" w:rsidRPr="00CD0871" w14:paraId="7C4E3C29" w14:textId="77777777" w:rsidTr="001A33BE">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DD867C2" w14:textId="77777777" w:rsidR="001A33BE" w:rsidRPr="00CD0871" w:rsidRDefault="001A33BE" w:rsidP="00F61E15">
            <w:pPr>
              <w:spacing w:after="0" w:line="240" w:lineRule="auto"/>
              <w:rPr>
                <w:rFonts w:eastAsia="Times New Roman"/>
                <w:color w:val="000000"/>
                <w:lang w:eastAsia="en-AU"/>
              </w:rPr>
            </w:pPr>
            <w:r w:rsidRPr="00CD0871">
              <w:rPr>
                <w:rFonts w:eastAsia="Times New Roman"/>
                <w:color w:val="000000"/>
                <w:lang w:eastAsia="en-AU"/>
              </w:rPr>
              <w:t>Tauranga</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21139DF"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1.7%</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9E5F14B"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7.9%</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56688A9"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25.3%</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995A0FE"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$994,708</w:t>
            </w:r>
          </w:p>
        </w:tc>
      </w:tr>
      <w:tr w:rsidR="001A33BE" w:rsidRPr="00CD0871" w14:paraId="0DE9F668" w14:textId="77777777" w:rsidTr="001A33B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F5E4" w14:textId="77777777" w:rsidR="001A33BE" w:rsidRPr="00CD0871" w:rsidRDefault="001A33BE" w:rsidP="00F61E15">
            <w:pPr>
              <w:spacing w:after="0" w:line="240" w:lineRule="auto"/>
              <w:rPr>
                <w:rFonts w:eastAsia="Times New Roman"/>
                <w:color w:val="000000"/>
                <w:lang w:eastAsia="en-AU"/>
              </w:rPr>
            </w:pPr>
            <w:r w:rsidRPr="00CD0871">
              <w:rPr>
                <w:rFonts w:eastAsia="Times New Roman"/>
                <w:color w:val="000000"/>
                <w:lang w:eastAsia="en-AU"/>
              </w:rPr>
              <w:t>Wellington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4158D"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BA75F"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EFF5"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31.9%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5B00"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$1,040,290</w:t>
            </w:r>
          </w:p>
        </w:tc>
      </w:tr>
      <w:tr w:rsidR="001A33BE" w:rsidRPr="00CD0871" w14:paraId="66385145" w14:textId="77777777" w:rsidTr="001A33BE">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39E9A5E" w14:textId="77777777" w:rsidR="001A33BE" w:rsidRPr="00CD0871" w:rsidRDefault="001A33BE" w:rsidP="00F61E15">
            <w:pPr>
              <w:spacing w:after="0" w:line="240" w:lineRule="auto"/>
              <w:rPr>
                <w:rFonts w:eastAsia="Times New Roman"/>
                <w:color w:val="000000"/>
                <w:lang w:eastAsia="en-AU"/>
              </w:rPr>
            </w:pPr>
            <w:r w:rsidRPr="00CD0871">
              <w:rPr>
                <w:rFonts w:eastAsia="Times New Roman"/>
                <w:color w:val="000000"/>
                <w:lang w:eastAsia="en-AU"/>
              </w:rPr>
              <w:t>Christchurch</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694F6E4"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2.1%</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BD07480"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8.4%</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122D03"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24.2%</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F55B61E"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$644,628</w:t>
            </w:r>
          </w:p>
        </w:tc>
      </w:tr>
      <w:tr w:rsidR="001A33BE" w:rsidRPr="00CD0871" w14:paraId="6F79E379" w14:textId="77777777" w:rsidTr="001A33B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2C2FF" w14:textId="77777777" w:rsidR="001A33BE" w:rsidRPr="00CD0871" w:rsidRDefault="001A33BE" w:rsidP="00F61E15">
            <w:pPr>
              <w:spacing w:after="0" w:line="240" w:lineRule="auto"/>
              <w:rPr>
                <w:rFonts w:eastAsia="Times New Roman"/>
                <w:color w:val="000000"/>
                <w:lang w:eastAsia="en-AU"/>
              </w:rPr>
            </w:pPr>
            <w:r w:rsidRPr="00CD0871">
              <w:rPr>
                <w:rFonts w:eastAsia="Times New Roman"/>
                <w:color w:val="000000"/>
                <w:lang w:eastAsia="en-AU"/>
              </w:rPr>
              <w:t>Dunedin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7EF0"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58FE9"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EA580"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20.6%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000C2" w14:textId="77777777" w:rsidR="001A33BE" w:rsidRPr="00CD0871" w:rsidRDefault="001A33BE" w:rsidP="00F61E15">
            <w:pPr>
              <w:spacing w:after="0" w:line="240" w:lineRule="auto"/>
              <w:jc w:val="right"/>
              <w:rPr>
                <w:rFonts w:eastAsia="Times New Roman"/>
                <w:color w:val="000000"/>
                <w:lang w:eastAsia="en-AU"/>
              </w:rPr>
            </w:pPr>
            <w:r w:rsidRPr="00CD0871">
              <w:rPr>
                <w:rFonts w:eastAsia="Times New Roman"/>
                <w:color w:val="000000"/>
                <w:lang w:eastAsia="en-AU"/>
              </w:rPr>
              <w:t>$664,560</w:t>
            </w:r>
          </w:p>
        </w:tc>
      </w:tr>
    </w:tbl>
    <w:p w14:paraId="521553F8" w14:textId="05334D72" w:rsidR="0010791C" w:rsidRPr="001A33BE" w:rsidRDefault="0010791C" w:rsidP="00A277E3">
      <w:pPr>
        <w:spacing w:before="240" w:line="276" w:lineRule="auto"/>
        <w:rPr>
          <w:rFonts w:cstheme="minorHAnsi"/>
        </w:rPr>
      </w:pPr>
      <w:r w:rsidRPr="001A33BE">
        <w:rPr>
          <w:rFonts w:cstheme="minorHAnsi"/>
          <w:b/>
        </w:rPr>
        <w:lastRenderedPageBreak/>
        <w:t>Provincial Centres (ordered by annual growth rate)</w:t>
      </w:r>
    </w:p>
    <w:tbl>
      <w:tblPr>
        <w:tblW w:w="5812" w:type="dxa"/>
        <w:tblLook w:val="04A0" w:firstRow="1" w:lastRow="0" w:firstColumn="1" w:lastColumn="0" w:noHBand="0" w:noVBand="1"/>
      </w:tblPr>
      <w:tblGrid>
        <w:gridCol w:w="1843"/>
        <w:gridCol w:w="839"/>
        <w:gridCol w:w="1004"/>
        <w:gridCol w:w="867"/>
        <w:gridCol w:w="1259"/>
      </w:tblGrid>
      <w:tr w:rsidR="001A33BE" w:rsidRPr="00CD0871" w14:paraId="6CFBCE22" w14:textId="77777777" w:rsidTr="001A33BE">
        <w:trPr>
          <w:trHeight w:val="300"/>
        </w:trPr>
        <w:tc>
          <w:tcPr>
            <w:tcW w:w="1843" w:type="dxa"/>
            <w:tcBorders>
              <w:top w:val="nil"/>
              <w:left w:val="nil"/>
              <w:bottom w:val="nil"/>
              <w:right w:val="nil"/>
            </w:tcBorders>
            <w:shd w:val="clear" w:color="000000" w:fill="3899D5"/>
            <w:noWrap/>
            <w:vAlign w:val="bottom"/>
            <w:hideMark/>
          </w:tcPr>
          <w:p w14:paraId="55B2EADD" w14:textId="77777777" w:rsidR="001A33BE" w:rsidRPr="001A33BE" w:rsidRDefault="001A33BE" w:rsidP="00B44DD7">
            <w:pPr>
              <w:rPr>
                <w:rFonts w:eastAsia="Times New Roman"/>
                <w:b/>
                <w:color w:val="FFFFFF"/>
                <w:lang w:eastAsia="en-AU"/>
              </w:rPr>
            </w:pPr>
            <w:r w:rsidRPr="001A33BE">
              <w:rPr>
                <w:rFonts w:eastAsia="Times New Roman"/>
                <w:b/>
                <w:color w:val="FFFFFF"/>
                <w:lang w:eastAsia="en-AU"/>
              </w:rPr>
              <w:t> </w:t>
            </w:r>
          </w:p>
        </w:tc>
        <w:tc>
          <w:tcPr>
            <w:tcW w:w="2710" w:type="dxa"/>
            <w:gridSpan w:val="3"/>
            <w:tcBorders>
              <w:top w:val="nil"/>
              <w:left w:val="nil"/>
              <w:bottom w:val="nil"/>
              <w:right w:val="nil"/>
            </w:tcBorders>
            <w:shd w:val="clear" w:color="000000" w:fill="3899D5"/>
            <w:noWrap/>
            <w:vAlign w:val="center"/>
            <w:hideMark/>
          </w:tcPr>
          <w:p w14:paraId="4BE8F362" w14:textId="77777777" w:rsidR="001A33BE" w:rsidRPr="001A33BE" w:rsidRDefault="001A33BE" w:rsidP="00B44DD7">
            <w:pPr>
              <w:jc w:val="center"/>
              <w:rPr>
                <w:rFonts w:eastAsia="Times New Roman"/>
                <w:b/>
                <w:color w:val="FFFFFF"/>
                <w:lang w:eastAsia="en-AU"/>
              </w:rPr>
            </w:pPr>
            <w:r w:rsidRPr="001A33BE">
              <w:rPr>
                <w:rFonts w:eastAsia="Times New Roman"/>
                <w:b/>
                <w:color w:val="FFFFFF"/>
                <w:lang w:eastAsia="en-AU"/>
              </w:rPr>
              <w:t>Change in property values</w:t>
            </w:r>
          </w:p>
        </w:tc>
        <w:tc>
          <w:tcPr>
            <w:tcW w:w="1259" w:type="dxa"/>
            <w:vMerge w:val="restart"/>
            <w:tcBorders>
              <w:top w:val="nil"/>
              <w:left w:val="nil"/>
              <w:bottom w:val="nil"/>
              <w:right w:val="nil"/>
            </w:tcBorders>
            <w:shd w:val="clear" w:color="000000" w:fill="3899D5"/>
            <w:vAlign w:val="center"/>
            <w:hideMark/>
          </w:tcPr>
          <w:p w14:paraId="42CDD1F0" w14:textId="77777777" w:rsidR="001A33BE" w:rsidRPr="001A33BE" w:rsidRDefault="001A33BE" w:rsidP="00B44DD7">
            <w:pPr>
              <w:jc w:val="center"/>
              <w:rPr>
                <w:rFonts w:eastAsia="Times New Roman"/>
                <w:b/>
                <w:color w:val="FFFFFF"/>
                <w:lang w:eastAsia="en-AU"/>
              </w:rPr>
            </w:pPr>
            <w:r w:rsidRPr="001A33BE">
              <w:rPr>
                <w:rFonts w:eastAsia="Times New Roman"/>
                <w:b/>
                <w:color w:val="FFFFFF"/>
                <w:lang w:eastAsia="en-AU"/>
              </w:rPr>
              <w:t>Average Value</w:t>
            </w:r>
          </w:p>
        </w:tc>
      </w:tr>
      <w:tr w:rsidR="001A33BE" w:rsidRPr="00CD0871" w14:paraId="0D7F7F83" w14:textId="77777777" w:rsidTr="001A33BE">
        <w:trPr>
          <w:trHeight w:val="300"/>
        </w:trPr>
        <w:tc>
          <w:tcPr>
            <w:tcW w:w="1843" w:type="dxa"/>
            <w:tcBorders>
              <w:top w:val="nil"/>
              <w:left w:val="nil"/>
              <w:bottom w:val="single" w:sz="4" w:space="0" w:color="auto"/>
              <w:right w:val="nil"/>
            </w:tcBorders>
            <w:shd w:val="clear" w:color="000000" w:fill="3899D5"/>
            <w:noWrap/>
            <w:vAlign w:val="bottom"/>
            <w:hideMark/>
          </w:tcPr>
          <w:p w14:paraId="131FE86A" w14:textId="77777777" w:rsidR="001A33BE" w:rsidRPr="001A33BE" w:rsidRDefault="001A33BE" w:rsidP="00B44DD7">
            <w:pPr>
              <w:rPr>
                <w:rFonts w:eastAsia="Times New Roman"/>
                <w:b/>
                <w:color w:val="FFFFFF"/>
                <w:lang w:eastAsia="en-AU"/>
              </w:rPr>
            </w:pPr>
            <w:r w:rsidRPr="001A33BE">
              <w:rPr>
                <w:rFonts w:eastAsia="Times New Roman"/>
                <w:b/>
                <w:color w:val="FFFFFF"/>
                <w:lang w:eastAsia="en-AU"/>
              </w:rPr>
              <w:t>TA</w:t>
            </w:r>
          </w:p>
        </w:tc>
        <w:tc>
          <w:tcPr>
            <w:tcW w:w="839" w:type="dxa"/>
            <w:tcBorders>
              <w:top w:val="nil"/>
              <w:left w:val="nil"/>
              <w:bottom w:val="single" w:sz="4" w:space="0" w:color="auto"/>
              <w:right w:val="nil"/>
            </w:tcBorders>
            <w:shd w:val="clear" w:color="000000" w:fill="3899D5"/>
            <w:noWrap/>
            <w:vAlign w:val="center"/>
            <w:hideMark/>
          </w:tcPr>
          <w:p w14:paraId="4A23D9F0" w14:textId="77777777" w:rsidR="001A33BE" w:rsidRPr="001A33BE" w:rsidRDefault="001A33BE" w:rsidP="00B44DD7">
            <w:pPr>
              <w:jc w:val="center"/>
              <w:rPr>
                <w:rFonts w:eastAsia="Times New Roman"/>
                <w:b/>
                <w:color w:val="FFFFFF"/>
                <w:lang w:eastAsia="en-AU"/>
              </w:rPr>
            </w:pPr>
            <w:r w:rsidRPr="001A33BE">
              <w:rPr>
                <w:rFonts w:eastAsia="Times New Roman"/>
                <w:b/>
                <w:color w:val="FFFFFF"/>
                <w:lang w:eastAsia="en-AU"/>
              </w:rPr>
              <w:t>Month</w:t>
            </w:r>
          </w:p>
        </w:tc>
        <w:tc>
          <w:tcPr>
            <w:tcW w:w="1004" w:type="dxa"/>
            <w:tcBorders>
              <w:top w:val="nil"/>
              <w:left w:val="nil"/>
              <w:bottom w:val="single" w:sz="4" w:space="0" w:color="auto"/>
              <w:right w:val="nil"/>
            </w:tcBorders>
            <w:shd w:val="clear" w:color="000000" w:fill="3899D5"/>
            <w:noWrap/>
            <w:vAlign w:val="center"/>
            <w:hideMark/>
          </w:tcPr>
          <w:p w14:paraId="5C6CA533" w14:textId="77777777" w:rsidR="001A33BE" w:rsidRPr="001A33BE" w:rsidRDefault="001A33BE" w:rsidP="00B44DD7">
            <w:pPr>
              <w:jc w:val="center"/>
              <w:rPr>
                <w:rFonts w:eastAsia="Times New Roman"/>
                <w:b/>
                <w:color w:val="FFFFFF"/>
                <w:lang w:eastAsia="en-AU"/>
              </w:rPr>
            </w:pPr>
            <w:r w:rsidRPr="001A33BE">
              <w:rPr>
                <w:rFonts w:eastAsia="Times New Roman"/>
                <w:b/>
                <w:color w:val="FFFFFF"/>
                <w:lang w:eastAsia="en-AU"/>
              </w:rPr>
              <w:t>Quarter</w:t>
            </w:r>
          </w:p>
        </w:tc>
        <w:tc>
          <w:tcPr>
            <w:tcW w:w="867" w:type="dxa"/>
            <w:tcBorders>
              <w:top w:val="nil"/>
              <w:left w:val="nil"/>
              <w:bottom w:val="single" w:sz="4" w:space="0" w:color="auto"/>
              <w:right w:val="nil"/>
            </w:tcBorders>
            <w:shd w:val="clear" w:color="000000" w:fill="3899D5"/>
            <w:noWrap/>
            <w:vAlign w:val="center"/>
            <w:hideMark/>
          </w:tcPr>
          <w:p w14:paraId="4F0A8DA3" w14:textId="77777777" w:rsidR="001A33BE" w:rsidRPr="001A33BE" w:rsidRDefault="001A33BE" w:rsidP="00B44DD7">
            <w:pPr>
              <w:jc w:val="center"/>
              <w:rPr>
                <w:rFonts w:eastAsia="Times New Roman"/>
                <w:b/>
                <w:color w:val="FFFFFF"/>
                <w:lang w:eastAsia="en-AU"/>
              </w:rPr>
            </w:pPr>
            <w:r w:rsidRPr="001A33BE">
              <w:rPr>
                <w:rFonts w:eastAsia="Times New Roman"/>
                <w:b/>
                <w:color w:val="FFFFFF"/>
                <w:lang w:eastAsia="en-AU"/>
              </w:rPr>
              <w:t>Annual</w:t>
            </w:r>
          </w:p>
        </w:tc>
        <w:tc>
          <w:tcPr>
            <w:tcW w:w="1259" w:type="dxa"/>
            <w:vMerge/>
            <w:tcBorders>
              <w:top w:val="nil"/>
              <w:left w:val="nil"/>
              <w:bottom w:val="single" w:sz="4" w:space="0" w:color="auto"/>
              <w:right w:val="nil"/>
            </w:tcBorders>
            <w:vAlign w:val="center"/>
            <w:hideMark/>
          </w:tcPr>
          <w:p w14:paraId="62E88692" w14:textId="77777777" w:rsidR="001A33BE" w:rsidRPr="001A33BE" w:rsidRDefault="001A33BE" w:rsidP="00B44DD7">
            <w:pPr>
              <w:rPr>
                <w:rFonts w:eastAsia="Times New Roman"/>
                <w:b/>
                <w:color w:val="FFFFFF"/>
                <w:lang w:eastAsia="en-AU"/>
              </w:rPr>
            </w:pPr>
          </w:p>
        </w:tc>
      </w:tr>
      <w:tr w:rsidR="001A33BE" w:rsidRPr="00CD0871" w14:paraId="01271512"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4B6A5A"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Queenstown</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3BED84"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1.5%</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513AD4F"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7.1%</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EEC66B2"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18.9%</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E2CA0F1"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$1,385,126</w:t>
            </w:r>
          </w:p>
        </w:tc>
      </w:tr>
      <w:tr w:rsidR="001A33BE" w:rsidRPr="00CD0871" w14:paraId="73B51B30"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00D02"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Nelson</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EBC8"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1.9%</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525BA"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5.0%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55B1C"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19.1%</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53BD5"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$789,468</w:t>
            </w:r>
          </w:p>
        </w:tc>
      </w:tr>
      <w:tr w:rsidR="001A33BE" w:rsidRPr="00CD0871" w14:paraId="5EF7EE20"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5E10537"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Invercargill</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491BD5D"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0.8%</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1A5CF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2.8%</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C6D7B2C"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20.9%</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1B221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$437,590</w:t>
            </w:r>
          </w:p>
        </w:tc>
      </w:tr>
      <w:tr w:rsidR="001A33BE" w:rsidRPr="00CD0871" w14:paraId="66D57768"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21AE"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Rotorua</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40B2B"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-3.3%</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4D3B"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1.9%</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8BDC1"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21.1%</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46F7A"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$650,546</w:t>
            </w:r>
          </w:p>
        </w:tc>
      </w:tr>
      <w:tr w:rsidR="001A33BE" w:rsidRPr="00CD0871" w14:paraId="1C9B2DC2"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52B3B0"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New Plymouth</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DC437C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1.5%</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B9CF37B"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4.1%</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35B13D"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24.8%</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9DD5F3B"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$641,340</w:t>
            </w:r>
          </w:p>
        </w:tc>
      </w:tr>
      <w:tr w:rsidR="001A33BE" w:rsidRPr="00CD0871" w14:paraId="2DC4B5A5"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1E5B"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Whangarei</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495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1.9%</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EAF53"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F4BE"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26.6%</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204F4"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$732,434</w:t>
            </w:r>
          </w:p>
        </w:tc>
      </w:tr>
      <w:tr w:rsidR="001A33BE" w:rsidRPr="00CD0871" w14:paraId="2B8A9E14"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E794CD6"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Napier</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E859C0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2.6%</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BFED7F"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2.8%</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C06EE04"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31.8%</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0E5D0DE"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$815,597</w:t>
            </w:r>
          </w:p>
        </w:tc>
      </w:tr>
      <w:tr w:rsidR="001A33BE" w:rsidRPr="00CD0871" w14:paraId="18ECE109"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F3F67"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Porirua</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03FF7"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1.9%</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2AFC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6.0%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E8FAF"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33.9%</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AE1FF"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$932,837</w:t>
            </w:r>
          </w:p>
        </w:tc>
      </w:tr>
      <w:tr w:rsidR="001A33BE" w:rsidRPr="00CD0871" w14:paraId="76702178"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281D13D"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Lower Hutt</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944E920"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0.9%</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B053E8"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7.7%</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E8FB89B"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34.3%</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AA9FD88"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$922,578</w:t>
            </w:r>
          </w:p>
        </w:tc>
      </w:tr>
      <w:tr w:rsidR="001A33BE" w:rsidRPr="00CD0871" w14:paraId="1F95D434"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0FB58"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Hastings</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73775"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2.5%</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7134"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6.7%</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E885E"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34.5%</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6BFF"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$798,087</w:t>
            </w:r>
          </w:p>
        </w:tc>
      </w:tr>
      <w:tr w:rsidR="001A33BE" w:rsidRPr="00CD0871" w14:paraId="34EB6153"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1FA9C11"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Kapiti Coast</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6421577"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-0.2%</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03E2F2E"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3.3%</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CA4ACFC"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35.0%</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8D1F03"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$910,925</w:t>
            </w:r>
          </w:p>
        </w:tc>
      </w:tr>
      <w:tr w:rsidR="001A33BE" w:rsidRPr="00CD0871" w14:paraId="1E00966B"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17F93"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Upper Hutt</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FCBF"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1.8%</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1D21"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6.6%</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24A7D"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35.2%</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06C8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$871,942</w:t>
            </w:r>
          </w:p>
        </w:tc>
      </w:tr>
      <w:tr w:rsidR="001A33BE" w:rsidRPr="00CD0871" w14:paraId="24351DA7"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79747C3"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Gisborne</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1A8C2DB"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1.0%</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2481C2E"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2.1%</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36DFBA3"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35.5%</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D5B5769"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$591,320</w:t>
            </w:r>
          </w:p>
        </w:tc>
      </w:tr>
      <w:tr w:rsidR="001A33BE" w:rsidRPr="00CD0871" w14:paraId="24D6C8E1"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6696"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Palmerston North</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56F1"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1.2%</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73C35"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8.3%</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DA33C"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38.4%</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F084"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$714,036</w:t>
            </w:r>
          </w:p>
        </w:tc>
      </w:tr>
      <w:tr w:rsidR="001A33BE" w:rsidRPr="00CD0871" w14:paraId="5B1422B0" w14:textId="77777777" w:rsidTr="001A33BE">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EE519CE" w14:textId="77777777" w:rsidR="001A33BE" w:rsidRPr="00CD0871" w:rsidRDefault="001A33BE" w:rsidP="00F61E15">
            <w:pPr>
              <w:spacing w:after="0"/>
              <w:rPr>
                <w:rFonts w:eastAsia="Times New Roman"/>
                <w:color w:val="000000"/>
                <w:lang w:eastAsia="en-AU"/>
              </w:rPr>
            </w:pPr>
            <w:r w:rsidRPr="00CD0871">
              <w:rPr>
                <w:rFonts w:eastAsia="Times New Roman"/>
                <w:color w:val="000000"/>
                <w:lang w:eastAsia="en-AU"/>
              </w:rPr>
              <w:t>Whanganui</w:t>
            </w:r>
          </w:p>
        </w:tc>
        <w:tc>
          <w:tcPr>
            <w:tcW w:w="83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61BEB46"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3.8%</w:t>
            </w:r>
          </w:p>
        </w:tc>
        <w:tc>
          <w:tcPr>
            <w:tcW w:w="100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1DA470"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7.3%</w:t>
            </w:r>
          </w:p>
        </w:tc>
        <w:tc>
          <w:tcPr>
            <w:tcW w:w="86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43A2585"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40.1%</w:t>
            </w:r>
          </w:p>
        </w:tc>
        <w:tc>
          <w:tcPr>
            <w:tcW w:w="12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5BE2813" w14:textId="77777777" w:rsidR="001A33BE" w:rsidRPr="00CD0871" w:rsidRDefault="001A33BE" w:rsidP="00F61E15">
            <w:pPr>
              <w:spacing w:after="0"/>
              <w:jc w:val="right"/>
              <w:rPr>
                <w:rFonts w:eastAsia="Times New Roman"/>
                <w:color w:val="000000"/>
                <w:lang w:eastAsia="en-AU"/>
              </w:rPr>
            </w:pPr>
            <w:r w:rsidRPr="00CD0871">
              <w:rPr>
                <w:rFonts w:eastAsia="Times New Roman"/>
                <w:color w:val="000000"/>
                <w:lang w:eastAsia="en-AU"/>
              </w:rPr>
              <w:t>$520,415</w:t>
            </w:r>
          </w:p>
        </w:tc>
      </w:tr>
    </w:tbl>
    <w:p w14:paraId="12781041" w14:textId="6A88FEF2" w:rsidR="00A277E3" w:rsidRPr="00F61E15" w:rsidRDefault="00A277E3" w:rsidP="00A277E3">
      <w:pPr>
        <w:spacing w:before="240" w:after="0" w:line="276" w:lineRule="auto"/>
        <w:rPr>
          <w:rFonts w:cstheme="minorHAnsi"/>
          <w:i/>
          <w:lang w:val="en-US"/>
        </w:rPr>
      </w:pPr>
      <w:r w:rsidRPr="00F61E15">
        <w:rPr>
          <w:rFonts w:cstheme="minorHAnsi"/>
          <w:i/>
          <w:lang w:val="en-US"/>
        </w:rPr>
        <w:t>Note:</w:t>
      </w:r>
    </w:p>
    <w:p w14:paraId="231437BA" w14:textId="77777777" w:rsidR="00A277E3" w:rsidRPr="00F61E15" w:rsidRDefault="00A277E3" w:rsidP="00A277E3">
      <w:pPr>
        <w:spacing w:before="240" w:after="0" w:line="276" w:lineRule="auto"/>
        <w:rPr>
          <w:rFonts w:cstheme="minorHAnsi"/>
          <w:i/>
          <w:lang w:val="en-US"/>
        </w:rPr>
      </w:pPr>
      <w:r w:rsidRPr="00F61E15">
        <w:rPr>
          <w:rFonts w:cstheme="minorHAnsi"/>
          <w:i/>
          <w:lang w:val="en-US"/>
        </w:rPr>
        <w:t>The CoreLogic HPI uses a rolling three month collection of sales data. This has always been the case and ensures a large sample of sales data is used to measure value change over time. This does mean the measure can be less reactive to recent market movements but offers a smooth trend over time. However, due to having agent and non-agent sales included, the index provides the most comprehensive measure of property value change over the longer term.</w:t>
      </w:r>
    </w:p>
    <w:p w14:paraId="59AAA832" w14:textId="77777777" w:rsidR="00A277E3" w:rsidRPr="00F61E15" w:rsidRDefault="00A277E3" w:rsidP="00A277E3">
      <w:pPr>
        <w:spacing w:before="240" w:after="0" w:line="276" w:lineRule="auto"/>
        <w:jc w:val="center"/>
        <w:rPr>
          <w:rFonts w:cstheme="minorHAnsi"/>
        </w:rPr>
      </w:pPr>
      <w:r w:rsidRPr="00F61E15">
        <w:rPr>
          <w:rFonts w:cstheme="minorHAnsi"/>
        </w:rPr>
        <w:t>###</w:t>
      </w:r>
    </w:p>
    <w:p w14:paraId="348F4C23" w14:textId="77777777" w:rsidR="00A277E3" w:rsidRPr="00DF196B" w:rsidRDefault="00A277E3" w:rsidP="00A277E3">
      <w:pPr>
        <w:pBdr>
          <w:top w:val="nil"/>
          <w:left w:val="nil"/>
          <w:bottom w:val="nil"/>
          <w:right w:val="nil"/>
          <w:between w:val="nil"/>
        </w:pBdr>
        <w:spacing w:before="240" w:after="0" w:line="276" w:lineRule="auto"/>
        <w:rPr>
          <w:rFonts w:eastAsia="Arial" w:cstheme="minorHAnsi"/>
          <w:b/>
          <w:color w:val="000000"/>
          <w:sz w:val="20"/>
          <w:szCs w:val="20"/>
          <w:lang w:eastAsia="en-NZ"/>
        </w:rPr>
      </w:pPr>
      <w:r w:rsidRPr="00DF196B">
        <w:rPr>
          <w:rFonts w:eastAsia="Arial" w:cstheme="minorHAnsi"/>
          <w:b/>
          <w:color w:val="000000"/>
          <w:sz w:val="20"/>
          <w:szCs w:val="20"/>
          <w:lang w:eastAsia="en-NZ"/>
        </w:rPr>
        <w:t>For more information:</w:t>
      </w:r>
    </w:p>
    <w:tbl>
      <w:tblPr>
        <w:tblStyle w:val="1"/>
        <w:tblW w:w="4680" w:type="dxa"/>
        <w:tblBorders>
          <w:top w:val="single" w:sz="4" w:space="0" w:color="000000"/>
          <w:left w:val="single" w:sz="4" w:space="0" w:color="000000"/>
          <w:bottom w:val="single" w:sz="4" w:space="0" w:color="000000"/>
          <w:right w:val="single" w:sz="4" w:space="0" w:color="000000"/>
        </w:tblBorders>
        <w:tblLayout w:type="fixed"/>
        <w:tblCellMar>
          <w:top w:w="0" w:type="dxa"/>
          <w:bottom w:w="0" w:type="dxa"/>
        </w:tblCellMar>
        <w:tblLook w:val="0400" w:firstRow="0" w:lastRow="0" w:firstColumn="0" w:lastColumn="0" w:noHBand="0" w:noVBand="1"/>
      </w:tblPr>
      <w:tblGrid>
        <w:gridCol w:w="4680"/>
      </w:tblGrid>
      <w:tr w:rsidR="00A277E3" w:rsidRPr="00DF196B" w14:paraId="7FECDED7" w14:textId="77777777" w:rsidTr="00DF196B">
        <w:trPr>
          <w:trHeight w:val="1042"/>
        </w:trPr>
        <w:tc>
          <w:tcPr>
            <w:tcW w:w="467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hideMark/>
          </w:tcPr>
          <w:p w14:paraId="7868B899" w14:textId="77777777" w:rsidR="00A277E3" w:rsidRPr="00DF196B" w:rsidRDefault="00A277E3" w:rsidP="00F44690">
            <w:pPr>
              <w:spacing w:after="0" w:line="240" w:lineRule="auto"/>
              <w:rPr>
                <w:rFonts w:eastAsia="Arial" w:cstheme="minorHAnsi"/>
                <w:sz w:val="20"/>
                <w:szCs w:val="20"/>
              </w:rPr>
            </w:pPr>
            <w:bookmarkStart w:id="0" w:name="_Hlk58591390"/>
            <w:r w:rsidRPr="00DF196B">
              <w:rPr>
                <w:rFonts w:eastAsia="Arial" w:cstheme="minorHAnsi"/>
                <w:sz w:val="20"/>
                <w:szCs w:val="20"/>
              </w:rPr>
              <w:t>Jemma Crook</w:t>
            </w:r>
          </w:p>
          <w:bookmarkEnd w:id="0"/>
          <w:p w14:paraId="647ECD46" w14:textId="77777777" w:rsidR="00A277E3" w:rsidRPr="00DF196B" w:rsidRDefault="00A277E3" w:rsidP="00F44690">
            <w:pPr>
              <w:spacing w:after="0" w:line="240" w:lineRule="auto"/>
              <w:rPr>
                <w:rFonts w:eastAsia="Arial" w:cstheme="minorHAnsi"/>
                <w:sz w:val="20"/>
                <w:szCs w:val="20"/>
              </w:rPr>
            </w:pPr>
            <w:r w:rsidRPr="00DF196B">
              <w:rPr>
                <w:rFonts w:eastAsia="Arial" w:cstheme="minorHAnsi"/>
                <w:sz w:val="20"/>
                <w:szCs w:val="20"/>
              </w:rPr>
              <w:t>Alexander PR</w:t>
            </w:r>
          </w:p>
          <w:p w14:paraId="6F95F4D5" w14:textId="77777777" w:rsidR="00A277E3" w:rsidRPr="00DF196B" w:rsidRDefault="00A277E3" w:rsidP="00F44690">
            <w:pPr>
              <w:spacing w:after="0" w:line="240" w:lineRule="auto"/>
              <w:rPr>
                <w:rFonts w:eastAsia="MS Mincho" w:cstheme="minorHAnsi"/>
                <w:kern w:val="2"/>
                <w:sz w:val="20"/>
                <w:szCs w:val="20"/>
                <w:lang w:eastAsia="en-GB"/>
              </w:rPr>
            </w:pPr>
            <w:r w:rsidRPr="00DF196B">
              <w:rPr>
                <w:rFonts w:eastAsia="Arial" w:cstheme="minorHAnsi"/>
                <w:sz w:val="20"/>
                <w:szCs w:val="20"/>
              </w:rPr>
              <w:t>+64 (0)</w:t>
            </w:r>
            <w:r w:rsidRPr="00DF196B">
              <w:rPr>
                <w:rFonts w:eastAsia="MS Mincho" w:cstheme="minorHAnsi"/>
                <w:kern w:val="2"/>
                <w:sz w:val="20"/>
                <w:szCs w:val="20"/>
                <w:lang w:eastAsia="en-GB"/>
              </w:rPr>
              <w:t>21 271 3318</w:t>
            </w:r>
          </w:p>
          <w:p w14:paraId="66DE79A0" w14:textId="77777777" w:rsidR="00A277E3" w:rsidRPr="00DF196B" w:rsidRDefault="005C26C8" w:rsidP="00F44690">
            <w:pPr>
              <w:spacing w:after="0" w:line="240" w:lineRule="auto"/>
              <w:rPr>
                <w:rFonts w:eastAsia="Arial" w:cstheme="minorHAnsi"/>
                <w:sz w:val="20"/>
                <w:szCs w:val="20"/>
              </w:rPr>
            </w:pPr>
            <w:hyperlink r:id="rId8" w:history="1">
              <w:r w:rsidR="00A277E3" w:rsidRPr="00DF196B">
                <w:rPr>
                  <w:rStyle w:val="Hyperlink"/>
                  <w:rFonts w:eastAsia="Arial" w:cstheme="minorHAnsi"/>
                  <w:sz w:val="20"/>
                  <w:szCs w:val="20"/>
                </w:rPr>
                <w:t>jemma@alexanderpr.co.nz</w:t>
              </w:r>
            </w:hyperlink>
            <w:r w:rsidR="00A277E3" w:rsidRPr="00DF196B">
              <w:rPr>
                <w:rFonts w:eastAsia="Arial" w:cstheme="minorHAnsi"/>
                <w:color w:val="0000FF"/>
                <w:sz w:val="20"/>
                <w:szCs w:val="20"/>
                <w:u w:val="single"/>
              </w:rPr>
              <w:t xml:space="preserve"> </w:t>
            </w:r>
          </w:p>
        </w:tc>
      </w:tr>
    </w:tbl>
    <w:p w14:paraId="3D2DD7A4" w14:textId="77777777" w:rsidR="00A277E3" w:rsidRPr="00DF196B" w:rsidRDefault="00A277E3" w:rsidP="00A277E3">
      <w:pPr>
        <w:pStyle w:val="Heading1"/>
        <w:keepLines/>
        <w:spacing w:after="0" w:line="276" w:lineRule="auto"/>
        <w:rPr>
          <w:rFonts w:asciiTheme="minorHAnsi" w:eastAsiaTheme="majorEastAsia" w:hAnsiTheme="minorHAnsi" w:cstheme="minorHAnsi"/>
          <w:color w:val="2E74B5" w:themeColor="accent1" w:themeShade="BF"/>
          <w:kern w:val="0"/>
          <w:sz w:val="20"/>
          <w:szCs w:val="20"/>
        </w:rPr>
      </w:pPr>
      <w:r w:rsidRPr="00DF196B">
        <w:rPr>
          <w:rFonts w:asciiTheme="minorHAnsi" w:eastAsiaTheme="majorEastAsia" w:hAnsiTheme="minorHAnsi" w:cstheme="minorHAnsi"/>
          <w:kern w:val="0"/>
          <w:sz w:val="20"/>
          <w:szCs w:val="20"/>
        </w:rPr>
        <w:t>About CoreLogic</w:t>
      </w:r>
    </w:p>
    <w:p w14:paraId="0957D37A" w14:textId="4ED248F3" w:rsidR="00DA700E" w:rsidRPr="00DF196B" w:rsidRDefault="00DA700E" w:rsidP="00E60616">
      <w:pPr>
        <w:pStyle w:val="NormalWeb"/>
        <w:shd w:val="clear" w:color="auto" w:fill="FFFFFF"/>
        <w:spacing w:before="240" w:beforeAutospacing="0" w:after="0" w:afterAutospacing="0" w:line="276" w:lineRule="auto"/>
        <w:rPr>
          <w:rFonts w:asciiTheme="minorHAnsi" w:eastAsia="Calibri" w:hAnsiTheme="minorHAnsi" w:cstheme="minorHAnsi"/>
          <w:sz w:val="20"/>
          <w:szCs w:val="20"/>
          <w:lang w:eastAsia="en-US"/>
        </w:rPr>
      </w:pPr>
      <w:r w:rsidRPr="00DF196B">
        <w:rPr>
          <w:rFonts w:asciiTheme="minorHAnsi" w:eastAsia="Calibri" w:hAnsiTheme="minorHAnsi" w:cstheme="minorHAnsi"/>
          <w:color w:val="000000" w:themeColor="text1"/>
          <w:sz w:val="20"/>
          <w:szCs w:val="20"/>
          <w:lang w:eastAsia="en-US"/>
        </w:rPr>
        <w:t xml:space="preserve">CoreLogic New Zealand has 45 staff across Auckland and Wellington and is part of the wider international CoreLogic business which has offices in Australia, the United States and the United Kingdom. CoreLogic is the world leader in property analytics and with its established base in New Zealand it is </w:t>
      </w:r>
      <w:r w:rsidRPr="00DF196B">
        <w:rPr>
          <w:rFonts w:asciiTheme="minorHAnsi" w:hAnsiTheme="minorHAnsi" w:cstheme="minorHAnsi"/>
          <w:color w:val="000000" w:themeColor="text1"/>
          <w:sz w:val="20"/>
          <w:szCs w:val="20"/>
          <w:shd w:val="clear" w:color="auto" w:fill="FFFFFF"/>
        </w:rPr>
        <w:t>the largest provider of property information, analytics and property-related risk management services in Australasia. </w:t>
      </w:r>
      <w:r w:rsidRPr="00DF196B">
        <w:rPr>
          <w:rFonts w:asciiTheme="minorHAnsi" w:eastAsia="Calibri" w:hAnsiTheme="minorHAnsi" w:cstheme="minorHAnsi"/>
          <w:color w:val="000000" w:themeColor="text1"/>
          <w:sz w:val="20"/>
          <w:szCs w:val="20"/>
          <w:lang w:eastAsia="en-US"/>
        </w:rPr>
        <w:t xml:space="preserve">With coverage of 99% of the New Zealand property market and more than 500 million decision points in its database, </w:t>
      </w:r>
      <w:r w:rsidRPr="00DF196B">
        <w:rPr>
          <w:rFonts w:asciiTheme="minorHAnsi" w:eastAsia="Calibri" w:hAnsiTheme="minorHAnsi" w:cstheme="minorHAnsi"/>
          <w:sz w:val="20"/>
          <w:szCs w:val="20"/>
          <w:lang w:eastAsia="en-US"/>
        </w:rPr>
        <w:t xml:space="preserve">CoreLogic connects the property ecosystem with data accuracy which allows the company to deliver on its promise of the most reliable and powerful property insights and analytics. </w:t>
      </w:r>
    </w:p>
    <w:p w14:paraId="29C04E65" w14:textId="7445672B" w:rsidR="00DA700E" w:rsidRPr="00DF196B" w:rsidRDefault="00DA700E" w:rsidP="00E60616">
      <w:pPr>
        <w:pStyle w:val="NormalWeb"/>
        <w:shd w:val="clear" w:color="auto" w:fill="FFFFFF"/>
        <w:spacing w:before="240" w:beforeAutospacing="0" w:after="0" w:afterAutospacing="0" w:line="276" w:lineRule="auto"/>
        <w:rPr>
          <w:rFonts w:asciiTheme="minorHAnsi" w:eastAsia="Calibri" w:hAnsiTheme="minorHAnsi" w:cstheme="minorHAnsi"/>
          <w:sz w:val="20"/>
          <w:szCs w:val="20"/>
          <w:lang w:eastAsia="en-US"/>
        </w:rPr>
      </w:pPr>
      <w:r w:rsidRPr="00DF196B">
        <w:rPr>
          <w:rFonts w:asciiTheme="minorHAnsi" w:eastAsia="Calibri" w:hAnsiTheme="minorHAnsi" w:cstheme="minorHAnsi"/>
          <w:sz w:val="20"/>
          <w:szCs w:val="20"/>
          <w:lang w:eastAsia="en-US"/>
        </w:rPr>
        <w:t xml:space="preserve">CoreLogic supports property professionals, banking and finance institutions and advisers, government, corporates (including insurance, telecommunications and utilities, and e-commerce) and professional services providers (from lawyers and conveyancers to construction industry businesses) with products, reports, data, analysis and other resources that better inform everyone with a stake in the New Zealand property sector. Its data and insights are </w:t>
      </w:r>
      <w:r w:rsidRPr="00DF196B">
        <w:rPr>
          <w:rFonts w:asciiTheme="minorHAnsi" w:eastAsia="Calibri" w:hAnsiTheme="minorHAnsi" w:cstheme="minorHAnsi"/>
          <w:sz w:val="20"/>
          <w:szCs w:val="20"/>
          <w:lang w:eastAsia="en-US"/>
        </w:rPr>
        <w:lastRenderedPageBreak/>
        <w:t>regularly presented to government agencies helping to inform policy making. Its addressing data is best in the market and is trusted by New Zealand Emergency Services with more than 2.3 million fully verified, primary in use physical addresses, and thousands of weekly updates from dozens of sources, verified by its in-house data maintenance team.</w:t>
      </w:r>
    </w:p>
    <w:p w14:paraId="0AB511B8" w14:textId="2593D51C" w:rsidR="00DA700E" w:rsidRPr="00DF196B" w:rsidRDefault="00DA700E" w:rsidP="00E60616">
      <w:pPr>
        <w:pStyle w:val="NormalWeb"/>
        <w:shd w:val="clear" w:color="auto" w:fill="FFFFFF"/>
        <w:spacing w:before="240" w:beforeAutospacing="0" w:after="0" w:afterAutospacing="0" w:line="276" w:lineRule="auto"/>
        <w:rPr>
          <w:rFonts w:asciiTheme="minorHAnsi" w:eastAsia="Calibri" w:hAnsiTheme="minorHAnsi" w:cstheme="minorHAnsi"/>
          <w:sz w:val="20"/>
          <w:szCs w:val="20"/>
          <w:lang w:eastAsia="en-US"/>
        </w:rPr>
      </w:pPr>
      <w:r w:rsidRPr="00DF196B">
        <w:rPr>
          <w:rFonts w:asciiTheme="minorHAnsi" w:eastAsia="Calibri" w:hAnsiTheme="minorHAnsi" w:cstheme="minorHAnsi"/>
          <w:color w:val="000000" w:themeColor="text1"/>
          <w:sz w:val="20"/>
          <w:szCs w:val="20"/>
          <w:lang w:eastAsia="en-US"/>
        </w:rPr>
        <w:t xml:space="preserve">CoreLogic New Zealand was established in 2014 following the merger of two companies that had strong foundations in the New Zealand property industry – </w:t>
      </w:r>
      <w:proofErr w:type="spellStart"/>
      <w:r w:rsidRPr="00DF196B">
        <w:rPr>
          <w:rFonts w:asciiTheme="minorHAnsi" w:eastAsia="Calibri" w:hAnsiTheme="minorHAnsi" w:cstheme="minorHAnsi"/>
          <w:color w:val="000000" w:themeColor="text1"/>
          <w:sz w:val="20"/>
          <w:szCs w:val="20"/>
          <w:lang w:eastAsia="en-US"/>
        </w:rPr>
        <w:t>Terralink</w:t>
      </w:r>
      <w:proofErr w:type="spellEnd"/>
      <w:r w:rsidRPr="00DF196B">
        <w:rPr>
          <w:rFonts w:asciiTheme="minorHAnsi" w:eastAsia="Calibri" w:hAnsiTheme="minorHAnsi" w:cstheme="minorHAnsi"/>
          <w:color w:val="000000" w:themeColor="text1"/>
          <w:sz w:val="20"/>
          <w:szCs w:val="20"/>
          <w:lang w:eastAsia="en-US"/>
        </w:rPr>
        <w:t xml:space="preserve"> Ltd and </w:t>
      </w:r>
      <w:proofErr w:type="spellStart"/>
      <w:r w:rsidRPr="00DF196B">
        <w:rPr>
          <w:rFonts w:asciiTheme="minorHAnsi" w:eastAsia="Calibri" w:hAnsiTheme="minorHAnsi" w:cstheme="minorHAnsi"/>
          <w:color w:val="000000" w:themeColor="text1"/>
          <w:sz w:val="20"/>
          <w:szCs w:val="20"/>
          <w:lang w:eastAsia="en-US"/>
        </w:rPr>
        <w:t>PropertyIQ</w:t>
      </w:r>
      <w:proofErr w:type="spellEnd"/>
      <w:r w:rsidRPr="00DF196B">
        <w:rPr>
          <w:rFonts w:asciiTheme="minorHAnsi" w:eastAsia="Calibri" w:hAnsiTheme="minorHAnsi" w:cstheme="minorHAnsi"/>
          <w:color w:val="000000" w:themeColor="text1"/>
          <w:sz w:val="20"/>
          <w:szCs w:val="20"/>
          <w:lang w:eastAsia="en-US"/>
        </w:rPr>
        <w:t xml:space="preserve"> NZ Ltd. </w:t>
      </w:r>
    </w:p>
    <w:p w14:paraId="5F756827" w14:textId="336349A5" w:rsidR="00DA700E" w:rsidRPr="00DF196B" w:rsidRDefault="00DA700E" w:rsidP="00E60616">
      <w:pPr>
        <w:pStyle w:val="NormalWeb"/>
        <w:shd w:val="clear" w:color="auto" w:fill="FFFFFF"/>
        <w:spacing w:before="240" w:beforeAutospacing="0" w:after="0" w:afterAutospacing="0" w:line="276" w:lineRule="auto"/>
        <w:rPr>
          <w:rFonts w:asciiTheme="minorHAnsi" w:eastAsia="Calibri" w:hAnsiTheme="minorHAnsi" w:cstheme="minorHAnsi"/>
          <w:sz w:val="20"/>
          <w:szCs w:val="20"/>
          <w:lang w:eastAsia="en-US"/>
        </w:rPr>
      </w:pPr>
      <w:r w:rsidRPr="00DF196B">
        <w:rPr>
          <w:rFonts w:asciiTheme="minorHAnsi" w:eastAsia="Calibri" w:hAnsiTheme="minorHAnsi" w:cstheme="minorHAnsi"/>
          <w:sz w:val="20"/>
          <w:szCs w:val="20"/>
          <w:lang w:eastAsia="en-US"/>
        </w:rPr>
        <w:t xml:space="preserve">The </w:t>
      </w:r>
      <w:hyperlink r:id="rId9" w:anchor=".XxeybygzZPY" w:history="1">
        <w:r w:rsidRPr="00DF196B">
          <w:rPr>
            <w:rStyle w:val="Hyperlink"/>
            <w:rFonts w:asciiTheme="minorHAnsi" w:eastAsia="Calibri" w:hAnsiTheme="minorHAnsi" w:cstheme="minorHAnsi"/>
            <w:sz w:val="20"/>
            <w:szCs w:val="20"/>
            <w:lang w:eastAsia="en-US"/>
          </w:rPr>
          <w:t>CoreLogic NZ Property Market podcast</w:t>
        </w:r>
      </w:hyperlink>
      <w:r w:rsidRPr="00DF196B">
        <w:rPr>
          <w:rFonts w:asciiTheme="minorHAnsi" w:eastAsia="Calibri" w:hAnsiTheme="minorHAnsi" w:cstheme="minorHAnsi"/>
          <w:sz w:val="20"/>
          <w:szCs w:val="20"/>
          <w:lang w:eastAsia="en-US"/>
        </w:rPr>
        <w:t xml:space="preserve"> is hosted by head of research Nick Goodall and economist Kelvin Davidson.</w:t>
      </w:r>
    </w:p>
    <w:p w14:paraId="0D6C29B2" w14:textId="31EB5AC7" w:rsidR="00A2700C" w:rsidRPr="00DF196B" w:rsidRDefault="005C26C8" w:rsidP="00C82A84">
      <w:pPr>
        <w:pStyle w:val="NormalWeb"/>
        <w:shd w:val="clear" w:color="auto" w:fill="FFFFFF"/>
        <w:spacing w:before="240" w:beforeAutospacing="0" w:after="0" w:afterAutospacing="0" w:line="276" w:lineRule="auto"/>
        <w:rPr>
          <w:rFonts w:asciiTheme="minorHAnsi" w:hAnsiTheme="minorHAnsi" w:cstheme="minorHAnsi"/>
          <w:color w:val="000000" w:themeColor="text1"/>
          <w:sz w:val="20"/>
          <w:szCs w:val="20"/>
        </w:rPr>
      </w:pPr>
      <w:hyperlink r:id="rId10" w:history="1">
        <w:r w:rsidR="00DA700E" w:rsidRPr="00DF196B">
          <w:rPr>
            <w:rStyle w:val="Hyperlink"/>
            <w:rFonts w:asciiTheme="minorHAnsi" w:eastAsia="Calibri" w:hAnsiTheme="minorHAnsi" w:cstheme="minorHAnsi"/>
            <w:sz w:val="20"/>
            <w:szCs w:val="20"/>
            <w:lang w:eastAsia="en-US"/>
          </w:rPr>
          <w:t>www.corelogic.co.nz</w:t>
        </w:r>
      </w:hyperlink>
      <w:r w:rsidR="00DA700E" w:rsidRPr="00DF196B">
        <w:rPr>
          <w:rFonts w:asciiTheme="minorHAnsi" w:eastAsia="Calibri" w:hAnsiTheme="minorHAnsi" w:cstheme="minorHAnsi"/>
          <w:sz w:val="20"/>
          <w:szCs w:val="20"/>
          <w:lang w:eastAsia="en-US"/>
        </w:rPr>
        <w:t xml:space="preserve"> </w:t>
      </w:r>
    </w:p>
    <w:sectPr w:rsidR="00A2700C" w:rsidRPr="00DF196B" w:rsidSect="00A11388">
      <w:headerReference w:type="default" r:id="rId11"/>
      <w:headerReference w:type="first" r:id="rId12"/>
      <w:pgSz w:w="11909" w:h="16834" w:code="9"/>
      <w:pgMar w:top="-1135" w:right="907" w:bottom="993" w:left="1656" w:header="67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20CB" w14:textId="77777777" w:rsidR="005C26C8" w:rsidRDefault="005C26C8">
      <w:r>
        <w:separator/>
      </w:r>
    </w:p>
  </w:endnote>
  <w:endnote w:type="continuationSeparator" w:id="0">
    <w:p w14:paraId="2C6FBD48" w14:textId="77777777" w:rsidR="005C26C8" w:rsidRDefault="005C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Font Regular">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FF5A" w14:textId="77777777" w:rsidR="005C26C8" w:rsidRDefault="005C26C8">
      <w:r>
        <w:separator/>
      </w:r>
    </w:p>
  </w:footnote>
  <w:footnote w:type="continuationSeparator" w:id="0">
    <w:p w14:paraId="00720EA6" w14:textId="77777777" w:rsidR="005C26C8" w:rsidRDefault="005C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DBDB" w14:textId="77777777" w:rsidR="00916812" w:rsidRDefault="00916812" w:rsidP="00916812">
    <w:pPr>
      <w:pStyle w:val="Header"/>
      <w:tabs>
        <w:tab w:val="clear" w:pos="4320"/>
        <w:tab w:val="clear" w:pos="8640"/>
        <w:tab w:val="left" w:pos="140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72" w:type="dxa"/>
      <w:tblLook w:val="01E0" w:firstRow="1" w:lastRow="1" w:firstColumn="1" w:lastColumn="1" w:noHBand="0" w:noVBand="0"/>
    </w:tblPr>
    <w:tblGrid>
      <w:gridCol w:w="5622"/>
      <w:gridCol w:w="4632"/>
    </w:tblGrid>
    <w:tr w:rsidR="009C7212" w:rsidRPr="00DD5658" w14:paraId="733FF40D" w14:textId="77777777" w:rsidTr="004D4DBE">
      <w:trPr>
        <w:cantSplit/>
        <w:trHeight w:hRule="exact" w:val="279"/>
      </w:trPr>
      <w:tc>
        <w:tcPr>
          <w:tcW w:w="5622" w:type="dxa"/>
          <w:tcMar>
            <w:left w:w="115" w:type="dxa"/>
            <w:bottom w:w="43" w:type="dxa"/>
            <w:right w:w="115" w:type="dxa"/>
          </w:tcMar>
        </w:tcPr>
        <w:p w14:paraId="0ED569E2" w14:textId="0EE10190" w:rsidR="00301F4B" w:rsidRDefault="00815290" w:rsidP="00EA3E6B">
          <w:pPr>
            <w:pStyle w:val="Header"/>
            <w:ind w:left="72"/>
          </w:pPr>
          <w:r>
            <w:t xml:space="preserve"> </w:t>
          </w:r>
        </w:p>
      </w:tc>
      <w:tc>
        <w:tcPr>
          <w:tcW w:w="4632" w:type="dxa"/>
          <w:tcMar>
            <w:left w:w="115" w:type="dxa"/>
            <w:bottom w:w="43" w:type="dxa"/>
            <w:right w:w="115" w:type="dxa"/>
          </w:tcMar>
          <w:vAlign w:val="bottom"/>
        </w:tcPr>
        <w:p w14:paraId="2C4BCE8E" w14:textId="77777777" w:rsidR="00301F4B" w:rsidRPr="00DD5658" w:rsidRDefault="00301F4B" w:rsidP="00F842FE">
          <w:pPr>
            <w:pStyle w:val="CoreLogicAddress"/>
            <w:spacing w:after="40" w:line="276" w:lineRule="auto"/>
            <w:jc w:val="center"/>
            <w:rPr>
              <w:b/>
              <w:color w:val="FF0000"/>
            </w:rPr>
          </w:pPr>
        </w:p>
      </w:tc>
    </w:tr>
    <w:tr w:rsidR="009C7212" w14:paraId="0629FF8E" w14:textId="77777777" w:rsidTr="00C82A84">
      <w:trPr>
        <w:cantSplit/>
        <w:trHeight w:hRule="exact" w:val="19"/>
      </w:trPr>
      <w:tc>
        <w:tcPr>
          <w:tcW w:w="5622" w:type="dxa"/>
        </w:tcPr>
        <w:p w14:paraId="77828816" w14:textId="77777777" w:rsidR="00693B3C" w:rsidRDefault="00693B3C" w:rsidP="00EA3E6B">
          <w:pPr>
            <w:pStyle w:val="Header"/>
            <w:ind w:left="72"/>
          </w:pPr>
        </w:p>
      </w:tc>
      <w:tc>
        <w:tcPr>
          <w:tcW w:w="4632" w:type="dxa"/>
        </w:tcPr>
        <w:p w14:paraId="65ABAD73" w14:textId="77777777" w:rsidR="00693B3C" w:rsidRPr="008300E4" w:rsidRDefault="00693B3C" w:rsidP="009B5B7F">
          <w:pPr>
            <w:pStyle w:val="CoreLogicAddress"/>
          </w:pPr>
        </w:p>
      </w:tc>
    </w:tr>
  </w:tbl>
  <w:p w14:paraId="35032283" w14:textId="405A9A77" w:rsidR="00301F4B" w:rsidRPr="006E2A83" w:rsidRDefault="00301F4B">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7A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BAD06EA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186A8B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5A08A2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802567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C5A51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C02596"/>
    <w:multiLevelType w:val="hybridMultilevel"/>
    <w:tmpl w:val="C3E4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914C5D"/>
    <w:multiLevelType w:val="hybridMultilevel"/>
    <w:tmpl w:val="9334C64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23CA4"/>
    <w:multiLevelType w:val="hybridMultilevel"/>
    <w:tmpl w:val="55B473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2C005AC"/>
    <w:multiLevelType w:val="hybridMultilevel"/>
    <w:tmpl w:val="6BBA5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8F2406A"/>
    <w:multiLevelType w:val="hybridMultilevel"/>
    <w:tmpl w:val="DEB692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C3B2E27"/>
    <w:multiLevelType w:val="hybridMultilevel"/>
    <w:tmpl w:val="B574C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C30AEC"/>
    <w:multiLevelType w:val="hybridMultilevel"/>
    <w:tmpl w:val="43CE91D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3744A8C"/>
    <w:multiLevelType w:val="hybridMultilevel"/>
    <w:tmpl w:val="A9F49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3D5CE3"/>
    <w:multiLevelType w:val="hybridMultilevel"/>
    <w:tmpl w:val="8BACC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EE1E1C"/>
    <w:multiLevelType w:val="hybridMultilevel"/>
    <w:tmpl w:val="19845E9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31375936"/>
    <w:multiLevelType w:val="hybridMultilevel"/>
    <w:tmpl w:val="55368C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1605FC8"/>
    <w:multiLevelType w:val="hybridMultilevel"/>
    <w:tmpl w:val="AE96643C"/>
    <w:lvl w:ilvl="0" w:tplc="B442FD48">
      <w:start w:val="1"/>
      <w:numFmt w:val="bullet"/>
      <w:pStyle w:val="bullet2"/>
      <w:lvlText w:val="♦"/>
      <w:lvlJc w:val="left"/>
      <w:pPr>
        <w:ind w:left="1163" w:hanging="360"/>
      </w:pPr>
      <w:rPr>
        <w:rFonts w:ascii="Arial" w:hAnsi="Arial" w:hint="default"/>
        <w:color w:val="958377"/>
        <w:sz w:val="20"/>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8" w15:restartNumberingAfterBreak="0">
    <w:nsid w:val="36A05442"/>
    <w:multiLevelType w:val="hybridMultilevel"/>
    <w:tmpl w:val="72F826E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8C5C9F"/>
    <w:multiLevelType w:val="hybridMultilevel"/>
    <w:tmpl w:val="FD0A2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80562"/>
    <w:multiLevelType w:val="hybridMultilevel"/>
    <w:tmpl w:val="821A8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C6BE0"/>
    <w:multiLevelType w:val="hybridMultilevel"/>
    <w:tmpl w:val="3A3A1FBC"/>
    <w:lvl w:ilvl="0" w:tplc="D0E68080">
      <w:start w:val="1"/>
      <w:numFmt w:val="bullet"/>
      <w:pStyle w:val="TOC2"/>
      <w:lvlText w:val=""/>
      <w:lvlJc w:val="left"/>
      <w:pPr>
        <w:tabs>
          <w:tab w:val="num" w:pos="1660"/>
        </w:tabs>
        <w:ind w:left="1660" w:hanging="360"/>
      </w:pPr>
      <w:rPr>
        <w:rFonts w:ascii="Symbol" w:hAnsi="Symbol" w:hint="default"/>
        <w:color w:val="A53523"/>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22" w15:restartNumberingAfterBreak="0">
    <w:nsid w:val="4E3B0254"/>
    <w:multiLevelType w:val="hybridMultilevel"/>
    <w:tmpl w:val="1AF6D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8D2F7B"/>
    <w:multiLevelType w:val="hybridMultilevel"/>
    <w:tmpl w:val="737E28C6"/>
    <w:lvl w:ilvl="0" w:tplc="8668DC70">
      <w:start w:val="1"/>
      <w:numFmt w:val="bullet"/>
      <w:pStyle w:val="bullet1"/>
      <w:lvlText w:val="►"/>
      <w:lvlJc w:val="left"/>
      <w:pPr>
        <w:ind w:left="547" w:hanging="360"/>
      </w:pPr>
      <w:rPr>
        <w:rFonts w:ascii="Arial" w:hAnsi="Arial" w:hint="default"/>
        <w:color w:val="E23D28"/>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A446D"/>
    <w:multiLevelType w:val="hybridMultilevel"/>
    <w:tmpl w:val="82D6E67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E117180"/>
    <w:multiLevelType w:val="hybridMultilevel"/>
    <w:tmpl w:val="F7F0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AF163B"/>
    <w:multiLevelType w:val="hybridMultilevel"/>
    <w:tmpl w:val="012A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B84EA8"/>
    <w:multiLevelType w:val="hybridMultilevel"/>
    <w:tmpl w:val="BEC4DEBE"/>
    <w:lvl w:ilvl="0" w:tplc="3D5669C6">
      <w:start w:val="78"/>
      <w:numFmt w:val="bullet"/>
      <w:lvlText w:val="–"/>
      <w:lvlJc w:val="left"/>
      <w:pPr>
        <w:tabs>
          <w:tab w:val="num" w:pos="720"/>
        </w:tabs>
        <w:ind w:left="720" w:hanging="360"/>
      </w:pPr>
      <w:rPr>
        <w:rFonts w:ascii="System Font Regular" w:hAnsi="System Font Regular" w:hint="default"/>
      </w:rPr>
    </w:lvl>
    <w:lvl w:ilvl="1" w:tplc="3D5669C6">
      <w:start w:val="78"/>
      <w:numFmt w:val="bullet"/>
      <w:lvlText w:val="–"/>
      <w:lvlJc w:val="left"/>
      <w:pPr>
        <w:tabs>
          <w:tab w:val="num" w:pos="1440"/>
        </w:tabs>
        <w:ind w:left="1440" w:hanging="360"/>
      </w:pPr>
      <w:rPr>
        <w:rFonts w:ascii="System Font Regular" w:hAnsi="System Font Regular" w:hint="default"/>
      </w:rPr>
    </w:lvl>
    <w:lvl w:ilvl="2" w:tplc="559E075E">
      <w:start w:val="1"/>
      <w:numFmt w:val="bullet"/>
      <w:lvlText w:val=""/>
      <w:lvlJc w:val="left"/>
      <w:pPr>
        <w:tabs>
          <w:tab w:val="num" w:pos="2160"/>
        </w:tabs>
        <w:ind w:left="2160" w:hanging="360"/>
      </w:pPr>
      <w:rPr>
        <w:rFonts w:ascii="Wingdings" w:hAnsi="Wingdings" w:hint="default"/>
      </w:rPr>
    </w:lvl>
    <w:lvl w:ilvl="3" w:tplc="031CB586">
      <w:start w:val="1"/>
      <w:numFmt w:val="bullet"/>
      <w:lvlText w:val=""/>
      <w:lvlJc w:val="left"/>
      <w:pPr>
        <w:tabs>
          <w:tab w:val="num" w:pos="2880"/>
        </w:tabs>
        <w:ind w:left="2880" w:hanging="360"/>
      </w:pPr>
      <w:rPr>
        <w:rFonts w:ascii="Wingdings" w:hAnsi="Wingdings" w:hint="default"/>
      </w:rPr>
    </w:lvl>
    <w:lvl w:ilvl="4" w:tplc="8AB83D18">
      <w:start w:val="1"/>
      <w:numFmt w:val="bullet"/>
      <w:lvlText w:val=""/>
      <w:lvlJc w:val="left"/>
      <w:pPr>
        <w:tabs>
          <w:tab w:val="num" w:pos="3600"/>
        </w:tabs>
        <w:ind w:left="3600" w:hanging="360"/>
      </w:pPr>
      <w:rPr>
        <w:rFonts w:ascii="Wingdings" w:hAnsi="Wingdings" w:hint="default"/>
      </w:rPr>
    </w:lvl>
    <w:lvl w:ilvl="5" w:tplc="24E85BB2">
      <w:start w:val="1"/>
      <w:numFmt w:val="bullet"/>
      <w:lvlText w:val=""/>
      <w:lvlJc w:val="left"/>
      <w:pPr>
        <w:tabs>
          <w:tab w:val="num" w:pos="4320"/>
        </w:tabs>
        <w:ind w:left="4320" w:hanging="360"/>
      </w:pPr>
      <w:rPr>
        <w:rFonts w:ascii="Wingdings" w:hAnsi="Wingdings" w:hint="default"/>
      </w:rPr>
    </w:lvl>
    <w:lvl w:ilvl="6" w:tplc="40C2A634">
      <w:start w:val="1"/>
      <w:numFmt w:val="bullet"/>
      <w:lvlText w:val=""/>
      <w:lvlJc w:val="left"/>
      <w:pPr>
        <w:tabs>
          <w:tab w:val="num" w:pos="5040"/>
        </w:tabs>
        <w:ind w:left="5040" w:hanging="360"/>
      </w:pPr>
      <w:rPr>
        <w:rFonts w:ascii="Wingdings" w:hAnsi="Wingdings" w:hint="default"/>
      </w:rPr>
    </w:lvl>
    <w:lvl w:ilvl="7" w:tplc="9E362EF6">
      <w:start w:val="1"/>
      <w:numFmt w:val="bullet"/>
      <w:lvlText w:val=""/>
      <w:lvlJc w:val="left"/>
      <w:pPr>
        <w:tabs>
          <w:tab w:val="num" w:pos="5760"/>
        </w:tabs>
        <w:ind w:left="5760" w:hanging="360"/>
      </w:pPr>
      <w:rPr>
        <w:rFonts w:ascii="Wingdings" w:hAnsi="Wingdings" w:hint="default"/>
      </w:rPr>
    </w:lvl>
    <w:lvl w:ilvl="8" w:tplc="F940B27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B7C7C"/>
    <w:multiLevelType w:val="hybridMultilevel"/>
    <w:tmpl w:val="E9863D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36E5069"/>
    <w:multiLevelType w:val="hybridMultilevel"/>
    <w:tmpl w:val="1CA08CE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0478A7"/>
    <w:multiLevelType w:val="hybridMultilevel"/>
    <w:tmpl w:val="03A42D2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9AE0D78"/>
    <w:multiLevelType w:val="hybridMultilevel"/>
    <w:tmpl w:val="D68A2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6A28D5"/>
    <w:multiLevelType w:val="hybridMultilevel"/>
    <w:tmpl w:val="54FCA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6F2C79"/>
    <w:multiLevelType w:val="hybridMultilevel"/>
    <w:tmpl w:val="D556D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BB10E1"/>
    <w:multiLevelType w:val="hybridMultilevel"/>
    <w:tmpl w:val="4D146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BA41F5"/>
    <w:multiLevelType w:val="hybridMultilevel"/>
    <w:tmpl w:val="3CAAC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B47F27"/>
    <w:multiLevelType w:val="hybridMultilevel"/>
    <w:tmpl w:val="B4943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D70796"/>
    <w:multiLevelType w:val="hybridMultilevel"/>
    <w:tmpl w:val="82D4A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F62142"/>
    <w:multiLevelType w:val="hybridMultilevel"/>
    <w:tmpl w:val="5D38C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5B2C74"/>
    <w:multiLevelType w:val="hybridMultilevel"/>
    <w:tmpl w:val="178CD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D27610"/>
    <w:multiLevelType w:val="hybridMultilevel"/>
    <w:tmpl w:val="CC1A7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7"/>
  </w:num>
  <w:num w:numId="4">
    <w:abstractNumId w:val="0"/>
  </w:num>
  <w:num w:numId="5">
    <w:abstractNumId w:val="5"/>
  </w:num>
  <w:num w:numId="6">
    <w:abstractNumId w:val="4"/>
  </w:num>
  <w:num w:numId="7">
    <w:abstractNumId w:val="3"/>
  </w:num>
  <w:num w:numId="8">
    <w:abstractNumId w:val="2"/>
  </w:num>
  <w:num w:numId="9">
    <w:abstractNumId w:val="1"/>
  </w:num>
  <w:num w:numId="10">
    <w:abstractNumId w:val="38"/>
  </w:num>
  <w:num w:numId="11">
    <w:abstractNumId w:val="20"/>
  </w:num>
  <w:num w:numId="12">
    <w:abstractNumId w:val="22"/>
  </w:num>
  <w:num w:numId="13">
    <w:abstractNumId w:val="19"/>
  </w:num>
  <w:num w:numId="14">
    <w:abstractNumId w:val="26"/>
  </w:num>
  <w:num w:numId="15">
    <w:abstractNumId w:val="39"/>
  </w:num>
  <w:num w:numId="16">
    <w:abstractNumId w:val="34"/>
  </w:num>
  <w:num w:numId="17">
    <w:abstractNumId w:val="11"/>
  </w:num>
  <w:num w:numId="18">
    <w:abstractNumId w:val="33"/>
  </w:num>
  <w:num w:numId="19">
    <w:abstractNumId w:val="31"/>
  </w:num>
  <w:num w:numId="20">
    <w:abstractNumId w:val="36"/>
  </w:num>
  <w:num w:numId="21">
    <w:abstractNumId w:val="9"/>
  </w:num>
  <w:num w:numId="22">
    <w:abstractNumId w:val="6"/>
  </w:num>
  <w:num w:numId="23">
    <w:abstractNumId w:val="25"/>
  </w:num>
  <w:num w:numId="24">
    <w:abstractNumId w:val="32"/>
  </w:num>
  <w:num w:numId="25">
    <w:abstractNumId w:val="40"/>
  </w:num>
  <w:num w:numId="26">
    <w:abstractNumId w:val="13"/>
  </w:num>
  <w:num w:numId="27">
    <w:abstractNumId w:val="37"/>
  </w:num>
  <w:num w:numId="28">
    <w:abstractNumId w:val="35"/>
  </w:num>
  <w:num w:numId="29">
    <w:abstractNumId w:val="27"/>
  </w:num>
  <w:num w:numId="30">
    <w:abstractNumId w:val="8"/>
  </w:num>
  <w:num w:numId="31">
    <w:abstractNumId w:val="15"/>
  </w:num>
  <w:num w:numId="32">
    <w:abstractNumId w:val="30"/>
  </w:num>
  <w:num w:numId="33">
    <w:abstractNumId w:val="12"/>
  </w:num>
  <w:num w:numId="34">
    <w:abstractNumId w:val="7"/>
  </w:num>
  <w:num w:numId="35">
    <w:abstractNumId w:val="24"/>
  </w:num>
  <w:num w:numId="36">
    <w:abstractNumId w:val="18"/>
  </w:num>
  <w:num w:numId="37">
    <w:abstractNumId w:val="29"/>
  </w:num>
  <w:num w:numId="38">
    <w:abstractNumId w:val="28"/>
  </w:num>
  <w:num w:numId="39">
    <w:abstractNumId w:val="16"/>
  </w:num>
  <w:num w:numId="40">
    <w:abstractNumId w:val="1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activeWritingStyle w:appName="MSWord" w:lang="en-NZ" w:vendorID="64" w:dllVersion="6" w:nlCheck="1" w:checkStyle="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A4"/>
    <w:rsid w:val="0000573E"/>
    <w:rsid w:val="00007CA5"/>
    <w:rsid w:val="0001101F"/>
    <w:rsid w:val="00020161"/>
    <w:rsid w:val="00020928"/>
    <w:rsid w:val="00031AA5"/>
    <w:rsid w:val="0004035D"/>
    <w:rsid w:val="00073488"/>
    <w:rsid w:val="00076BBE"/>
    <w:rsid w:val="0008232D"/>
    <w:rsid w:val="00095EF1"/>
    <w:rsid w:val="000967AA"/>
    <w:rsid w:val="000A1F17"/>
    <w:rsid w:val="000A2DCA"/>
    <w:rsid w:val="000B1693"/>
    <w:rsid w:val="000B1BBF"/>
    <w:rsid w:val="000B7560"/>
    <w:rsid w:val="000D6AD4"/>
    <w:rsid w:val="000F0A36"/>
    <w:rsid w:val="0010791C"/>
    <w:rsid w:val="0011127C"/>
    <w:rsid w:val="001116E1"/>
    <w:rsid w:val="00111A0D"/>
    <w:rsid w:val="00117BF7"/>
    <w:rsid w:val="0012118F"/>
    <w:rsid w:val="001313C3"/>
    <w:rsid w:val="00171C87"/>
    <w:rsid w:val="00191D0E"/>
    <w:rsid w:val="001A33BE"/>
    <w:rsid w:val="001B0B24"/>
    <w:rsid w:val="001B40EE"/>
    <w:rsid w:val="001C78F7"/>
    <w:rsid w:val="00205ECF"/>
    <w:rsid w:val="002122BC"/>
    <w:rsid w:val="00214184"/>
    <w:rsid w:val="002141BF"/>
    <w:rsid w:val="002318BA"/>
    <w:rsid w:val="00232A35"/>
    <w:rsid w:val="002342AF"/>
    <w:rsid w:val="00244B20"/>
    <w:rsid w:val="00261D84"/>
    <w:rsid w:val="00276A4F"/>
    <w:rsid w:val="002905E9"/>
    <w:rsid w:val="00296DCA"/>
    <w:rsid w:val="002C6CED"/>
    <w:rsid w:val="002E5658"/>
    <w:rsid w:val="002E5ECD"/>
    <w:rsid w:val="00301F4B"/>
    <w:rsid w:val="0032320A"/>
    <w:rsid w:val="003529A2"/>
    <w:rsid w:val="003652A0"/>
    <w:rsid w:val="0039175D"/>
    <w:rsid w:val="0039460F"/>
    <w:rsid w:val="003A2458"/>
    <w:rsid w:val="003A7A95"/>
    <w:rsid w:val="003C6A04"/>
    <w:rsid w:val="003D132B"/>
    <w:rsid w:val="003D17AA"/>
    <w:rsid w:val="003D5330"/>
    <w:rsid w:val="003E4903"/>
    <w:rsid w:val="003F2B04"/>
    <w:rsid w:val="003F462A"/>
    <w:rsid w:val="003F7ECE"/>
    <w:rsid w:val="00403EFA"/>
    <w:rsid w:val="00414A27"/>
    <w:rsid w:val="00431375"/>
    <w:rsid w:val="00436DD7"/>
    <w:rsid w:val="004449D8"/>
    <w:rsid w:val="00452D00"/>
    <w:rsid w:val="00472CDD"/>
    <w:rsid w:val="0048696C"/>
    <w:rsid w:val="00492780"/>
    <w:rsid w:val="004B2750"/>
    <w:rsid w:val="004B7861"/>
    <w:rsid w:val="004C08F2"/>
    <w:rsid w:val="004C44EF"/>
    <w:rsid w:val="004D2913"/>
    <w:rsid w:val="004D4DBE"/>
    <w:rsid w:val="004F17EB"/>
    <w:rsid w:val="005153FF"/>
    <w:rsid w:val="0051610E"/>
    <w:rsid w:val="00526CAF"/>
    <w:rsid w:val="00531EE9"/>
    <w:rsid w:val="00547F58"/>
    <w:rsid w:val="00571D0C"/>
    <w:rsid w:val="0057716A"/>
    <w:rsid w:val="00582E61"/>
    <w:rsid w:val="005B121C"/>
    <w:rsid w:val="005C20DC"/>
    <w:rsid w:val="005C26C8"/>
    <w:rsid w:val="005C7259"/>
    <w:rsid w:val="005D00CA"/>
    <w:rsid w:val="005F024F"/>
    <w:rsid w:val="005F04B5"/>
    <w:rsid w:val="00600A5A"/>
    <w:rsid w:val="00601390"/>
    <w:rsid w:val="00607E3E"/>
    <w:rsid w:val="0062552F"/>
    <w:rsid w:val="00641697"/>
    <w:rsid w:val="00641878"/>
    <w:rsid w:val="00655B29"/>
    <w:rsid w:val="00662172"/>
    <w:rsid w:val="006746B4"/>
    <w:rsid w:val="00675711"/>
    <w:rsid w:val="006801BA"/>
    <w:rsid w:val="0068720B"/>
    <w:rsid w:val="00693B3C"/>
    <w:rsid w:val="006A7BCC"/>
    <w:rsid w:val="006B03F1"/>
    <w:rsid w:val="006B25A7"/>
    <w:rsid w:val="006B5F64"/>
    <w:rsid w:val="006C029E"/>
    <w:rsid w:val="006C2DEC"/>
    <w:rsid w:val="006D12C4"/>
    <w:rsid w:val="006D3F88"/>
    <w:rsid w:val="006E0543"/>
    <w:rsid w:val="006E2A83"/>
    <w:rsid w:val="006F094B"/>
    <w:rsid w:val="00702695"/>
    <w:rsid w:val="007102DD"/>
    <w:rsid w:val="00712AC2"/>
    <w:rsid w:val="00720731"/>
    <w:rsid w:val="007406EB"/>
    <w:rsid w:val="00750182"/>
    <w:rsid w:val="0075412B"/>
    <w:rsid w:val="00767EC5"/>
    <w:rsid w:val="007716DC"/>
    <w:rsid w:val="00772B61"/>
    <w:rsid w:val="00781098"/>
    <w:rsid w:val="00784394"/>
    <w:rsid w:val="007A4E12"/>
    <w:rsid w:val="007B022A"/>
    <w:rsid w:val="007B2B5E"/>
    <w:rsid w:val="007B4CE9"/>
    <w:rsid w:val="007C2C30"/>
    <w:rsid w:val="007C7AFC"/>
    <w:rsid w:val="007C7B1F"/>
    <w:rsid w:val="007E45EA"/>
    <w:rsid w:val="007E6C89"/>
    <w:rsid w:val="007F5B12"/>
    <w:rsid w:val="007F62D5"/>
    <w:rsid w:val="00810E57"/>
    <w:rsid w:val="00815290"/>
    <w:rsid w:val="008300E4"/>
    <w:rsid w:val="00833772"/>
    <w:rsid w:val="00836784"/>
    <w:rsid w:val="00857849"/>
    <w:rsid w:val="00864425"/>
    <w:rsid w:val="00886B1D"/>
    <w:rsid w:val="00891F09"/>
    <w:rsid w:val="00897722"/>
    <w:rsid w:val="008A0931"/>
    <w:rsid w:val="008A0CDB"/>
    <w:rsid w:val="008A4D35"/>
    <w:rsid w:val="008C2380"/>
    <w:rsid w:val="008D1F74"/>
    <w:rsid w:val="008D5A42"/>
    <w:rsid w:val="008F404D"/>
    <w:rsid w:val="00916812"/>
    <w:rsid w:val="009335A0"/>
    <w:rsid w:val="00944FF5"/>
    <w:rsid w:val="0095189E"/>
    <w:rsid w:val="0095689F"/>
    <w:rsid w:val="00973C98"/>
    <w:rsid w:val="00985CF1"/>
    <w:rsid w:val="00993F65"/>
    <w:rsid w:val="009A7899"/>
    <w:rsid w:val="009B5B7F"/>
    <w:rsid w:val="009B7EAC"/>
    <w:rsid w:val="009C2B78"/>
    <w:rsid w:val="009C35B8"/>
    <w:rsid w:val="009C7212"/>
    <w:rsid w:val="009D30D8"/>
    <w:rsid w:val="009D379C"/>
    <w:rsid w:val="009F5AEC"/>
    <w:rsid w:val="009F7561"/>
    <w:rsid w:val="00A07CD7"/>
    <w:rsid w:val="00A11388"/>
    <w:rsid w:val="00A11FF1"/>
    <w:rsid w:val="00A15AE2"/>
    <w:rsid w:val="00A16145"/>
    <w:rsid w:val="00A26A93"/>
    <w:rsid w:val="00A2700C"/>
    <w:rsid w:val="00A277E3"/>
    <w:rsid w:val="00A507A3"/>
    <w:rsid w:val="00A55538"/>
    <w:rsid w:val="00A56AA0"/>
    <w:rsid w:val="00A57389"/>
    <w:rsid w:val="00A60E49"/>
    <w:rsid w:val="00A623CE"/>
    <w:rsid w:val="00A63064"/>
    <w:rsid w:val="00A66A74"/>
    <w:rsid w:val="00A72C67"/>
    <w:rsid w:val="00A8189C"/>
    <w:rsid w:val="00A82295"/>
    <w:rsid w:val="00A82630"/>
    <w:rsid w:val="00AB5287"/>
    <w:rsid w:val="00AC5D02"/>
    <w:rsid w:val="00AD2EA2"/>
    <w:rsid w:val="00AD47C1"/>
    <w:rsid w:val="00AD4869"/>
    <w:rsid w:val="00AE6585"/>
    <w:rsid w:val="00B06B51"/>
    <w:rsid w:val="00B2737D"/>
    <w:rsid w:val="00B52799"/>
    <w:rsid w:val="00B54CD9"/>
    <w:rsid w:val="00B613C0"/>
    <w:rsid w:val="00B71772"/>
    <w:rsid w:val="00B73598"/>
    <w:rsid w:val="00B855FD"/>
    <w:rsid w:val="00B914CE"/>
    <w:rsid w:val="00B975CE"/>
    <w:rsid w:val="00BB41F8"/>
    <w:rsid w:val="00BC3C3F"/>
    <w:rsid w:val="00BC6D7B"/>
    <w:rsid w:val="00BD63C1"/>
    <w:rsid w:val="00BD719A"/>
    <w:rsid w:val="00BE01AD"/>
    <w:rsid w:val="00BE78C4"/>
    <w:rsid w:val="00BF1750"/>
    <w:rsid w:val="00BF4825"/>
    <w:rsid w:val="00BF6108"/>
    <w:rsid w:val="00C17167"/>
    <w:rsid w:val="00C664A3"/>
    <w:rsid w:val="00C82A84"/>
    <w:rsid w:val="00C84686"/>
    <w:rsid w:val="00C94642"/>
    <w:rsid w:val="00CA3966"/>
    <w:rsid w:val="00CA6AFC"/>
    <w:rsid w:val="00CB1F7D"/>
    <w:rsid w:val="00CF0394"/>
    <w:rsid w:val="00CF2DF3"/>
    <w:rsid w:val="00D02550"/>
    <w:rsid w:val="00D03877"/>
    <w:rsid w:val="00D232F0"/>
    <w:rsid w:val="00D3550D"/>
    <w:rsid w:val="00D429FF"/>
    <w:rsid w:val="00D51B58"/>
    <w:rsid w:val="00D73B7E"/>
    <w:rsid w:val="00D86A5C"/>
    <w:rsid w:val="00D91089"/>
    <w:rsid w:val="00DA700E"/>
    <w:rsid w:val="00DB1CEB"/>
    <w:rsid w:val="00DB612F"/>
    <w:rsid w:val="00DC26C9"/>
    <w:rsid w:val="00DD26F9"/>
    <w:rsid w:val="00DD5658"/>
    <w:rsid w:val="00DF196B"/>
    <w:rsid w:val="00E00130"/>
    <w:rsid w:val="00E0187C"/>
    <w:rsid w:val="00E32486"/>
    <w:rsid w:val="00E35639"/>
    <w:rsid w:val="00E41157"/>
    <w:rsid w:val="00E45477"/>
    <w:rsid w:val="00E47F05"/>
    <w:rsid w:val="00E60616"/>
    <w:rsid w:val="00E642FD"/>
    <w:rsid w:val="00E756A4"/>
    <w:rsid w:val="00E93B6B"/>
    <w:rsid w:val="00EA3E6B"/>
    <w:rsid w:val="00EA72BB"/>
    <w:rsid w:val="00EC03AE"/>
    <w:rsid w:val="00ED0328"/>
    <w:rsid w:val="00ED34D1"/>
    <w:rsid w:val="00ED4A51"/>
    <w:rsid w:val="00EE204C"/>
    <w:rsid w:val="00EE481D"/>
    <w:rsid w:val="00EE6046"/>
    <w:rsid w:val="00EF10C2"/>
    <w:rsid w:val="00EF3492"/>
    <w:rsid w:val="00EF4FEF"/>
    <w:rsid w:val="00F04B3A"/>
    <w:rsid w:val="00F11551"/>
    <w:rsid w:val="00F25496"/>
    <w:rsid w:val="00F32214"/>
    <w:rsid w:val="00F440A7"/>
    <w:rsid w:val="00F61E15"/>
    <w:rsid w:val="00F62DF6"/>
    <w:rsid w:val="00F633A6"/>
    <w:rsid w:val="00F842FE"/>
    <w:rsid w:val="00F85956"/>
    <w:rsid w:val="00F96FE6"/>
    <w:rsid w:val="00FB2770"/>
    <w:rsid w:val="00FC78FF"/>
    <w:rsid w:val="00FD1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6478E"/>
  <w14:defaultImageDpi w14:val="300"/>
  <w15:chartTrackingRefBased/>
  <w15:docId w15:val="{8FAC9A14-9000-4751-B425-973C7F4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94B"/>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031AA5"/>
    <w:pPr>
      <w:keepNext/>
      <w:spacing w:before="240" w:after="60"/>
      <w:outlineLvl w:val="0"/>
    </w:pPr>
    <w:rPr>
      <w:rFonts w:ascii="Calibri" w:eastAsia="MS Gothic" w:hAnsi="Calibri"/>
      <w:b/>
      <w:bCs/>
      <w:kern w:val="32"/>
      <w:sz w:val="32"/>
      <w:szCs w:val="32"/>
    </w:rPr>
  </w:style>
  <w:style w:type="paragraph" w:styleId="Heading4">
    <w:name w:val="heading 4"/>
    <w:basedOn w:val="Normal"/>
    <w:next w:val="Normal"/>
    <w:link w:val="Heading4Char"/>
    <w:semiHidden/>
    <w:unhideWhenUsed/>
    <w:qFormat/>
    <w:rsid w:val="00403E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864425"/>
    <w:pPr>
      <w:tabs>
        <w:tab w:val="left" w:pos="2520"/>
      </w:tabs>
      <w:spacing w:before="240"/>
      <w:ind w:left="2160" w:right="360"/>
    </w:pPr>
    <w:rPr>
      <w:rFonts w:ascii="Arial" w:hAnsi="Arial"/>
      <w:b/>
      <w:bCs/>
      <w:caps/>
      <w:noProof/>
      <w:color w:val="A53523"/>
      <w:sz w:val="28"/>
      <w:szCs w:val="20"/>
    </w:rPr>
  </w:style>
  <w:style w:type="paragraph" w:styleId="TOC2">
    <w:name w:val="toc 2"/>
    <w:basedOn w:val="Normal"/>
    <w:next w:val="Normal"/>
    <w:semiHidden/>
    <w:rsid w:val="00864425"/>
    <w:pPr>
      <w:numPr>
        <w:numId w:val="1"/>
      </w:numPr>
      <w:tabs>
        <w:tab w:val="left" w:pos="2808"/>
        <w:tab w:val="right" w:pos="10790"/>
      </w:tabs>
      <w:spacing w:before="60"/>
      <w:ind w:right="360"/>
    </w:pPr>
    <w:rPr>
      <w:rFonts w:ascii="Arial" w:hAnsi="Arial"/>
      <w:b/>
      <w:iCs/>
      <w:color w:val="6E6B5E"/>
      <w:szCs w:val="20"/>
    </w:rPr>
  </w:style>
  <w:style w:type="paragraph" w:styleId="Header">
    <w:name w:val="header"/>
    <w:basedOn w:val="Normal"/>
    <w:rsid w:val="008C2380"/>
    <w:pPr>
      <w:tabs>
        <w:tab w:val="center" w:pos="4320"/>
        <w:tab w:val="right" w:pos="8640"/>
      </w:tabs>
    </w:pPr>
  </w:style>
  <w:style w:type="paragraph" w:styleId="Footer">
    <w:name w:val="footer"/>
    <w:basedOn w:val="Normal"/>
    <w:rsid w:val="008C2380"/>
    <w:pPr>
      <w:tabs>
        <w:tab w:val="center" w:pos="4320"/>
        <w:tab w:val="right" w:pos="8640"/>
      </w:tabs>
    </w:pPr>
  </w:style>
  <w:style w:type="table" w:styleId="TableGrid">
    <w:name w:val="Table Grid"/>
    <w:basedOn w:val="TableNormal"/>
    <w:rsid w:val="00020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eLogicAddress">
    <w:name w:val="CoreLogic Address"/>
    <w:rsid w:val="006C2DEC"/>
    <w:pPr>
      <w:spacing w:line="160" w:lineRule="exact"/>
      <w:jc w:val="right"/>
    </w:pPr>
    <w:rPr>
      <w:rFonts w:ascii="Arial" w:hAnsi="Arial"/>
      <w:color w:val="685745"/>
      <w:sz w:val="14"/>
      <w:szCs w:val="14"/>
      <w:lang w:val="en-US" w:eastAsia="ko-KR"/>
    </w:rPr>
  </w:style>
  <w:style w:type="paragraph" w:styleId="Date">
    <w:name w:val="Date"/>
    <w:basedOn w:val="Normal"/>
    <w:next w:val="Normal"/>
    <w:rsid w:val="00A2700C"/>
    <w:rPr>
      <w:sz w:val="20"/>
      <w:szCs w:val="20"/>
    </w:rPr>
  </w:style>
  <w:style w:type="paragraph" w:customStyle="1" w:styleId="bullet1">
    <w:name w:val="bullet 1"/>
    <w:basedOn w:val="CoreLogicMainBody"/>
    <w:qFormat/>
    <w:rsid w:val="004C44EF"/>
    <w:pPr>
      <w:numPr>
        <w:numId w:val="2"/>
      </w:numPr>
      <w:spacing w:before="120"/>
      <w:ind w:left="447" w:hanging="274"/>
    </w:pPr>
  </w:style>
  <w:style w:type="paragraph" w:customStyle="1" w:styleId="CoreLogicMainBody">
    <w:name w:val="CoreLogic Main Body"/>
    <w:basedOn w:val="Normal"/>
    <w:rsid w:val="004C08F2"/>
    <w:pPr>
      <w:spacing w:before="300" w:line="300" w:lineRule="exact"/>
      <w:ind w:right="288"/>
    </w:pPr>
    <w:rPr>
      <w:rFonts w:ascii="Arial" w:hAnsi="Arial"/>
      <w:sz w:val="20"/>
      <w:szCs w:val="20"/>
    </w:rPr>
  </w:style>
  <w:style w:type="paragraph" w:customStyle="1" w:styleId="Date1">
    <w:name w:val="Date1"/>
    <w:basedOn w:val="name"/>
    <w:next w:val="name"/>
    <w:qFormat/>
    <w:rsid w:val="004C08F2"/>
    <w:pPr>
      <w:spacing w:after="300"/>
    </w:pPr>
  </w:style>
  <w:style w:type="paragraph" w:customStyle="1" w:styleId="name">
    <w:name w:val="name"/>
    <w:next w:val="company"/>
    <w:qFormat/>
    <w:rsid w:val="004C08F2"/>
    <w:rPr>
      <w:rFonts w:ascii="Arial" w:hAnsi="Arial"/>
      <w:lang w:val="en-US" w:eastAsia="ko-KR"/>
    </w:rPr>
  </w:style>
  <w:style w:type="paragraph" w:customStyle="1" w:styleId="company">
    <w:name w:val="company"/>
    <w:basedOn w:val="name"/>
    <w:next w:val="address"/>
    <w:qFormat/>
    <w:rsid w:val="004C44EF"/>
  </w:style>
  <w:style w:type="paragraph" w:customStyle="1" w:styleId="address">
    <w:name w:val="address"/>
    <w:basedOn w:val="name"/>
    <w:next w:val="citystatezip"/>
    <w:qFormat/>
    <w:rsid w:val="004C08F2"/>
  </w:style>
  <w:style w:type="paragraph" w:customStyle="1" w:styleId="citystatezip">
    <w:name w:val="city state zip"/>
    <w:basedOn w:val="name"/>
    <w:next w:val="Salutation1"/>
    <w:qFormat/>
    <w:rsid w:val="004C44EF"/>
    <w:pPr>
      <w:spacing w:after="840"/>
    </w:pPr>
  </w:style>
  <w:style w:type="paragraph" w:customStyle="1" w:styleId="bullet2">
    <w:name w:val="bullet 2"/>
    <w:basedOn w:val="bullet1"/>
    <w:qFormat/>
    <w:rsid w:val="004C44EF"/>
    <w:pPr>
      <w:numPr>
        <w:numId w:val="3"/>
      </w:numPr>
      <w:spacing w:before="60"/>
      <w:ind w:left="907"/>
    </w:pPr>
  </w:style>
  <w:style w:type="paragraph" w:customStyle="1" w:styleId="Salutation1">
    <w:name w:val="Salutation1"/>
    <w:basedOn w:val="CoreLogicMainBody"/>
    <w:next w:val="CoreLogicMainBody"/>
    <w:qFormat/>
    <w:rsid w:val="004C44EF"/>
    <w:pPr>
      <w:spacing w:before="840"/>
    </w:pPr>
  </w:style>
  <w:style w:type="paragraph" w:customStyle="1" w:styleId="signatureline">
    <w:name w:val="signature line"/>
    <w:basedOn w:val="CoreLogicMainBody"/>
    <w:next w:val="salesrepname"/>
    <w:qFormat/>
    <w:rsid w:val="004C44EF"/>
    <w:pPr>
      <w:spacing w:before="600"/>
    </w:pPr>
    <w:rPr>
      <w:rFonts w:cs="Arial"/>
    </w:rPr>
  </w:style>
  <w:style w:type="paragraph" w:customStyle="1" w:styleId="salesrepname">
    <w:name w:val="sales rep name"/>
    <w:basedOn w:val="CoreLogicMainBody"/>
    <w:next w:val="salesreptitle"/>
    <w:qFormat/>
    <w:rsid w:val="004C44EF"/>
    <w:pPr>
      <w:spacing w:before="120"/>
    </w:pPr>
  </w:style>
  <w:style w:type="paragraph" w:customStyle="1" w:styleId="salesreptitle">
    <w:name w:val="sales rep title"/>
    <w:basedOn w:val="CoreLogicMainBody"/>
    <w:next w:val="salesreptelephone"/>
    <w:qFormat/>
    <w:rsid w:val="004C44EF"/>
    <w:pPr>
      <w:spacing w:before="0"/>
    </w:pPr>
  </w:style>
  <w:style w:type="paragraph" w:customStyle="1" w:styleId="salesreptelephone">
    <w:name w:val="sales rep telephone"/>
    <w:basedOn w:val="CoreLogicMainBody"/>
    <w:next w:val="salesrepemail"/>
    <w:qFormat/>
    <w:rsid w:val="004C44EF"/>
    <w:pPr>
      <w:spacing w:before="0"/>
    </w:pPr>
  </w:style>
  <w:style w:type="paragraph" w:customStyle="1" w:styleId="salesrepemail">
    <w:name w:val="sales rep email"/>
    <w:basedOn w:val="CoreLogicMainBody"/>
    <w:qFormat/>
    <w:rsid w:val="004C44EF"/>
    <w:pPr>
      <w:spacing w:before="0"/>
    </w:pPr>
  </w:style>
  <w:style w:type="paragraph" w:styleId="BalloonText">
    <w:name w:val="Balloon Text"/>
    <w:basedOn w:val="Normal"/>
    <w:link w:val="BalloonTextChar"/>
    <w:rsid w:val="004C08F2"/>
    <w:rPr>
      <w:rFonts w:ascii="Arial" w:hAnsi="Arial" w:cs="Lucida Grande"/>
      <w:sz w:val="18"/>
      <w:szCs w:val="18"/>
    </w:rPr>
  </w:style>
  <w:style w:type="character" w:customStyle="1" w:styleId="BalloonTextChar">
    <w:name w:val="Balloon Text Char"/>
    <w:link w:val="BalloonText"/>
    <w:rsid w:val="004C08F2"/>
    <w:rPr>
      <w:rFonts w:ascii="Arial" w:hAnsi="Arial" w:cs="Lucida Grande"/>
      <w:sz w:val="18"/>
      <w:szCs w:val="18"/>
      <w:lang w:val="en-US" w:eastAsia="ko-KR"/>
    </w:rPr>
  </w:style>
  <w:style w:type="paragraph" w:styleId="BodyText">
    <w:name w:val="Body Text"/>
    <w:aliases w:val="arial"/>
    <w:basedOn w:val="Normal"/>
    <w:link w:val="BodyTextChar"/>
    <w:rsid w:val="004C08F2"/>
    <w:pPr>
      <w:spacing w:after="120"/>
    </w:pPr>
  </w:style>
  <w:style w:type="character" w:customStyle="1" w:styleId="BodyTextChar">
    <w:name w:val="Body Text Char"/>
    <w:aliases w:val="arial Char"/>
    <w:link w:val="BodyText"/>
    <w:rsid w:val="004C08F2"/>
    <w:rPr>
      <w:sz w:val="24"/>
      <w:szCs w:val="24"/>
      <w:lang w:val="en-US" w:eastAsia="ko-KR"/>
    </w:rPr>
  </w:style>
  <w:style w:type="paragraph" w:styleId="BodyText2">
    <w:name w:val="Body Text 2"/>
    <w:basedOn w:val="Normal"/>
    <w:link w:val="BodyText2Char"/>
    <w:rsid w:val="004C08F2"/>
    <w:pPr>
      <w:spacing w:after="120" w:line="480" w:lineRule="auto"/>
    </w:pPr>
    <w:rPr>
      <w:rFonts w:ascii="Arial" w:hAnsi="Arial"/>
    </w:rPr>
  </w:style>
  <w:style w:type="character" w:customStyle="1" w:styleId="BodyText2Char">
    <w:name w:val="Body Text 2 Char"/>
    <w:link w:val="BodyText2"/>
    <w:rsid w:val="004C08F2"/>
    <w:rPr>
      <w:rFonts w:ascii="Arial" w:hAnsi="Arial"/>
      <w:sz w:val="24"/>
      <w:szCs w:val="24"/>
      <w:lang w:val="en-US" w:eastAsia="ko-KR"/>
    </w:rPr>
  </w:style>
  <w:style w:type="paragraph" w:styleId="BodyText3">
    <w:name w:val="Body Text 3"/>
    <w:basedOn w:val="Normal"/>
    <w:link w:val="BodyText3Char"/>
    <w:rsid w:val="004C08F2"/>
    <w:pPr>
      <w:spacing w:after="120"/>
    </w:pPr>
    <w:rPr>
      <w:rFonts w:ascii="Arial" w:hAnsi="Arial"/>
      <w:sz w:val="16"/>
      <w:szCs w:val="16"/>
    </w:rPr>
  </w:style>
  <w:style w:type="character" w:customStyle="1" w:styleId="BodyText3Char">
    <w:name w:val="Body Text 3 Char"/>
    <w:link w:val="BodyText3"/>
    <w:rsid w:val="004C08F2"/>
    <w:rPr>
      <w:rFonts w:ascii="Arial" w:hAnsi="Arial"/>
      <w:sz w:val="16"/>
      <w:szCs w:val="16"/>
      <w:lang w:val="en-US" w:eastAsia="ko-KR"/>
    </w:rPr>
  </w:style>
  <w:style w:type="paragraph" w:styleId="BodyTextFirstIndent">
    <w:name w:val="Body Text First Indent"/>
    <w:basedOn w:val="BodyText"/>
    <w:link w:val="BodyTextFirstIndentChar"/>
    <w:rsid w:val="004C08F2"/>
    <w:pPr>
      <w:spacing w:after="0"/>
      <w:ind w:firstLine="360"/>
    </w:pPr>
    <w:rPr>
      <w:rFonts w:ascii="Arial" w:hAnsi="Arial"/>
    </w:rPr>
  </w:style>
  <w:style w:type="character" w:customStyle="1" w:styleId="BodyTextFirstIndentChar">
    <w:name w:val="Body Text First Indent Char"/>
    <w:link w:val="BodyTextFirstIndent"/>
    <w:rsid w:val="004C08F2"/>
    <w:rPr>
      <w:rFonts w:ascii="Arial" w:hAnsi="Arial"/>
      <w:sz w:val="24"/>
      <w:szCs w:val="24"/>
      <w:lang w:val="en-US" w:eastAsia="ko-KR"/>
    </w:rPr>
  </w:style>
  <w:style w:type="paragraph" w:styleId="BodyTextIndent">
    <w:name w:val="Body Text Indent"/>
    <w:basedOn w:val="Normal"/>
    <w:link w:val="BodyTextIndentChar"/>
    <w:rsid w:val="004C08F2"/>
    <w:pPr>
      <w:spacing w:after="120"/>
      <w:ind w:left="283"/>
    </w:pPr>
  </w:style>
  <w:style w:type="character" w:customStyle="1" w:styleId="BodyTextIndentChar">
    <w:name w:val="Body Text Indent Char"/>
    <w:link w:val="BodyTextIndent"/>
    <w:rsid w:val="004C08F2"/>
    <w:rPr>
      <w:sz w:val="24"/>
      <w:szCs w:val="24"/>
      <w:lang w:val="en-US" w:eastAsia="ko-KR"/>
    </w:rPr>
  </w:style>
  <w:style w:type="paragraph" w:styleId="BodyTextFirstIndent2">
    <w:name w:val="Body Text First Indent 2"/>
    <w:basedOn w:val="BodyTextIndent"/>
    <w:link w:val="BodyTextFirstIndent2Char"/>
    <w:rsid w:val="004C08F2"/>
    <w:pPr>
      <w:spacing w:after="0"/>
      <w:ind w:left="360" w:firstLine="360"/>
    </w:pPr>
    <w:rPr>
      <w:rFonts w:ascii="Arial" w:hAnsi="Arial"/>
    </w:rPr>
  </w:style>
  <w:style w:type="character" w:customStyle="1" w:styleId="BodyTextFirstIndent2Char">
    <w:name w:val="Body Text First Indent 2 Char"/>
    <w:link w:val="BodyTextFirstIndent2"/>
    <w:rsid w:val="004C08F2"/>
    <w:rPr>
      <w:rFonts w:ascii="Arial" w:hAnsi="Arial"/>
      <w:sz w:val="24"/>
      <w:szCs w:val="24"/>
      <w:lang w:val="en-US" w:eastAsia="ko-KR"/>
    </w:rPr>
  </w:style>
  <w:style w:type="character" w:customStyle="1" w:styleId="Heading1Char">
    <w:name w:val="Heading 1 Char"/>
    <w:link w:val="Heading1"/>
    <w:uiPriority w:val="9"/>
    <w:rsid w:val="00031AA5"/>
    <w:rPr>
      <w:rFonts w:ascii="Calibri" w:eastAsia="MS Gothic" w:hAnsi="Calibri" w:cs="Times New Roman"/>
      <w:b/>
      <w:bCs/>
      <w:kern w:val="32"/>
      <w:sz w:val="32"/>
      <w:szCs w:val="32"/>
      <w:lang w:val="en-US" w:eastAsia="ko-KR"/>
    </w:rPr>
  </w:style>
  <w:style w:type="paragraph" w:customStyle="1" w:styleId="CoreLogicPressTitle">
    <w:name w:val="CoreLogic Press Title"/>
    <w:basedOn w:val="Heading1"/>
    <w:qFormat/>
    <w:rsid w:val="00031AA5"/>
    <w:rPr>
      <w:rFonts w:ascii="Arial" w:hAnsi="Arial"/>
    </w:rPr>
  </w:style>
  <w:style w:type="paragraph" w:styleId="ListParagraph">
    <w:name w:val="List Paragraph"/>
    <w:basedOn w:val="Normal"/>
    <w:uiPriority w:val="34"/>
    <w:qFormat/>
    <w:rsid w:val="006F094B"/>
    <w:pPr>
      <w:ind w:left="720"/>
      <w:contextualSpacing/>
    </w:pPr>
  </w:style>
  <w:style w:type="character" w:styleId="Hyperlink">
    <w:name w:val="Hyperlink"/>
    <w:basedOn w:val="DefaultParagraphFont"/>
    <w:uiPriority w:val="99"/>
    <w:unhideWhenUsed/>
    <w:rsid w:val="006F094B"/>
    <w:rPr>
      <w:color w:val="0563C1" w:themeColor="hyperlink"/>
      <w:u w:val="single"/>
    </w:rPr>
  </w:style>
  <w:style w:type="paragraph" w:styleId="NormalWeb">
    <w:name w:val="Normal (Web)"/>
    <w:basedOn w:val="Normal"/>
    <w:uiPriority w:val="99"/>
    <w:unhideWhenUsed/>
    <w:rsid w:val="008367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rsid w:val="00CF2DF3"/>
    <w:rPr>
      <w:sz w:val="16"/>
      <w:szCs w:val="16"/>
    </w:rPr>
  </w:style>
  <w:style w:type="paragraph" w:styleId="CommentText">
    <w:name w:val="annotation text"/>
    <w:basedOn w:val="Normal"/>
    <w:link w:val="CommentTextChar"/>
    <w:rsid w:val="00CF2DF3"/>
    <w:pPr>
      <w:spacing w:line="240" w:lineRule="auto"/>
    </w:pPr>
    <w:rPr>
      <w:sz w:val="20"/>
      <w:szCs w:val="20"/>
    </w:rPr>
  </w:style>
  <w:style w:type="character" w:customStyle="1" w:styleId="CommentTextChar">
    <w:name w:val="Comment Text Char"/>
    <w:basedOn w:val="DefaultParagraphFont"/>
    <w:link w:val="CommentText"/>
    <w:rsid w:val="00CF2DF3"/>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CF2DF3"/>
    <w:rPr>
      <w:b/>
      <w:bCs/>
    </w:rPr>
  </w:style>
  <w:style w:type="character" w:customStyle="1" w:styleId="CommentSubjectChar">
    <w:name w:val="Comment Subject Char"/>
    <w:basedOn w:val="CommentTextChar"/>
    <w:link w:val="CommentSubject"/>
    <w:rsid w:val="00CF2DF3"/>
    <w:rPr>
      <w:rFonts w:asciiTheme="minorHAnsi" w:eastAsiaTheme="minorHAnsi" w:hAnsiTheme="minorHAnsi" w:cstheme="minorBidi"/>
      <w:b/>
      <w:bCs/>
      <w:lang w:eastAsia="en-US"/>
    </w:rPr>
  </w:style>
  <w:style w:type="table" w:customStyle="1" w:styleId="1">
    <w:name w:val="1"/>
    <w:basedOn w:val="TableNormal"/>
    <w:rsid w:val="00D91089"/>
    <w:pPr>
      <w:pBdr>
        <w:top w:val="nil"/>
        <w:left w:val="nil"/>
        <w:bottom w:val="nil"/>
        <w:right w:val="nil"/>
        <w:between w:val="nil"/>
      </w:pBdr>
      <w:spacing w:after="160" w:line="259" w:lineRule="auto"/>
    </w:pPr>
    <w:rPr>
      <w:rFonts w:ascii="Calibri" w:eastAsia="Calibri" w:hAnsi="Calibri" w:cs="Calibri"/>
      <w:color w:val="000000"/>
      <w:sz w:val="22"/>
      <w:szCs w:val="22"/>
      <w:lang w:eastAsia="en-NZ"/>
    </w:rPr>
    <w:tblPr>
      <w:tblStyleRowBandSize w:val="1"/>
      <w:tblStyleColBandSize w:val="1"/>
      <w:tblCellMar>
        <w:top w:w="15" w:type="dxa"/>
        <w:left w:w="115" w:type="dxa"/>
        <w:bottom w:w="15" w:type="dxa"/>
        <w:right w:w="115" w:type="dxa"/>
      </w:tblCellMar>
    </w:tblPr>
  </w:style>
  <w:style w:type="character" w:customStyle="1" w:styleId="UnresolvedMention1">
    <w:name w:val="Unresolved Mention1"/>
    <w:basedOn w:val="DefaultParagraphFont"/>
    <w:uiPriority w:val="99"/>
    <w:semiHidden/>
    <w:unhideWhenUsed/>
    <w:rsid w:val="00DA700E"/>
    <w:rPr>
      <w:color w:val="605E5C"/>
      <w:shd w:val="clear" w:color="auto" w:fill="E1DFDD"/>
    </w:rPr>
  </w:style>
  <w:style w:type="character" w:customStyle="1" w:styleId="Heading4Char">
    <w:name w:val="Heading 4 Char"/>
    <w:basedOn w:val="DefaultParagraphFont"/>
    <w:link w:val="Heading4"/>
    <w:semiHidden/>
    <w:rsid w:val="00403EFA"/>
    <w:rPr>
      <w:rFonts w:asciiTheme="majorHAnsi" w:eastAsiaTheme="majorEastAsia" w:hAnsiTheme="majorHAnsi" w:cstheme="majorBidi"/>
      <w:i/>
      <w:iCs/>
      <w:color w:val="2E74B5" w:themeColor="accent1" w:themeShade="BF"/>
      <w:sz w:val="22"/>
      <w:szCs w:val="22"/>
      <w:lang w:eastAsia="en-US"/>
    </w:rPr>
  </w:style>
  <w:style w:type="character" w:customStyle="1" w:styleId="UnresolvedMention2">
    <w:name w:val="Unresolved Mention2"/>
    <w:basedOn w:val="DefaultParagraphFont"/>
    <w:uiPriority w:val="99"/>
    <w:semiHidden/>
    <w:unhideWhenUsed/>
    <w:rsid w:val="00E60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2992">
      <w:bodyDiv w:val="1"/>
      <w:marLeft w:val="0"/>
      <w:marRight w:val="0"/>
      <w:marTop w:val="0"/>
      <w:marBottom w:val="0"/>
      <w:divBdr>
        <w:top w:val="none" w:sz="0" w:space="0" w:color="auto"/>
        <w:left w:val="none" w:sz="0" w:space="0" w:color="auto"/>
        <w:bottom w:val="none" w:sz="0" w:space="0" w:color="auto"/>
        <w:right w:val="none" w:sz="0" w:space="0" w:color="auto"/>
      </w:divBdr>
    </w:div>
    <w:div w:id="227036253">
      <w:bodyDiv w:val="1"/>
      <w:marLeft w:val="0"/>
      <w:marRight w:val="0"/>
      <w:marTop w:val="0"/>
      <w:marBottom w:val="0"/>
      <w:divBdr>
        <w:top w:val="none" w:sz="0" w:space="0" w:color="auto"/>
        <w:left w:val="none" w:sz="0" w:space="0" w:color="auto"/>
        <w:bottom w:val="none" w:sz="0" w:space="0" w:color="auto"/>
        <w:right w:val="none" w:sz="0" w:space="0" w:color="auto"/>
      </w:divBdr>
    </w:div>
    <w:div w:id="446659525">
      <w:bodyDiv w:val="1"/>
      <w:marLeft w:val="0"/>
      <w:marRight w:val="0"/>
      <w:marTop w:val="0"/>
      <w:marBottom w:val="0"/>
      <w:divBdr>
        <w:top w:val="none" w:sz="0" w:space="0" w:color="auto"/>
        <w:left w:val="none" w:sz="0" w:space="0" w:color="auto"/>
        <w:bottom w:val="none" w:sz="0" w:space="0" w:color="auto"/>
        <w:right w:val="none" w:sz="0" w:space="0" w:color="auto"/>
      </w:divBdr>
    </w:div>
    <w:div w:id="593632038">
      <w:bodyDiv w:val="1"/>
      <w:marLeft w:val="0"/>
      <w:marRight w:val="0"/>
      <w:marTop w:val="0"/>
      <w:marBottom w:val="0"/>
      <w:divBdr>
        <w:top w:val="none" w:sz="0" w:space="0" w:color="auto"/>
        <w:left w:val="none" w:sz="0" w:space="0" w:color="auto"/>
        <w:bottom w:val="none" w:sz="0" w:space="0" w:color="auto"/>
        <w:right w:val="none" w:sz="0" w:space="0" w:color="auto"/>
      </w:divBdr>
    </w:div>
    <w:div w:id="922223685">
      <w:bodyDiv w:val="1"/>
      <w:marLeft w:val="0"/>
      <w:marRight w:val="0"/>
      <w:marTop w:val="0"/>
      <w:marBottom w:val="0"/>
      <w:divBdr>
        <w:top w:val="none" w:sz="0" w:space="0" w:color="auto"/>
        <w:left w:val="none" w:sz="0" w:space="0" w:color="auto"/>
        <w:bottom w:val="none" w:sz="0" w:space="0" w:color="auto"/>
        <w:right w:val="none" w:sz="0" w:space="0" w:color="auto"/>
      </w:divBdr>
    </w:div>
    <w:div w:id="996570772">
      <w:bodyDiv w:val="1"/>
      <w:marLeft w:val="0"/>
      <w:marRight w:val="0"/>
      <w:marTop w:val="0"/>
      <w:marBottom w:val="0"/>
      <w:divBdr>
        <w:top w:val="none" w:sz="0" w:space="0" w:color="auto"/>
        <w:left w:val="none" w:sz="0" w:space="0" w:color="auto"/>
        <w:bottom w:val="none" w:sz="0" w:space="0" w:color="auto"/>
        <w:right w:val="none" w:sz="0" w:space="0" w:color="auto"/>
      </w:divBdr>
    </w:div>
    <w:div w:id="1070806871">
      <w:bodyDiv w:val="1"/>
      <w:marLeft w:val="0"/>
      <w:marRight w:val="0"/>
      <w:marTop w:val="0"/>
      <w:marBottom w:val="0"/>
      <w:divBdr>
        <w:top w:val="none" w:sz="0" w:space="0" w:color="auto"/>
        <w:left w:val="none" w:sz="0" w:space="0" w:color="auto"/>
        <w:bottom w:val="none" w:sz="0" w:space="0" w:color="auto"/>
        <w:right w:val="none" w:sz="0" w:space="0" w:color="auto"/>
      </w:divBdr>
    </w:div>
    <w:div w:id="1094284062">
      <w:bodyDiv w:val="1"/>
      <w:marLeft w:val="0"/>
      <w:marRight w:val="0"/>
      <w:marTop w:val="0"/>
      <w:marBottom w:val="0"/>
      <w:divBdr>
        <w:top w:val="none" w:sz="0" w:space="0" w:color="auto"/>
        <w:left w:val="none" w:sz="0" w:space="0" w:color="auto"/>
        <w:bottom w:val="none" w:sz="0" w:space="0" w:color="auto"/>
        <w:right w:val="none" w:sz="0" w:space="0" w:color="auto"/>
      </w:divBdr>
    </w:div>
    <w:div w:id="1728382185">
      <w:bodyDiv w:val="1"/>
      <w:marLeft w:val="0"/>
      <w:marRight w:val="0"/>
      <w:marTop w:val="0"/>
      <w:marBottom w:val="0"/>
      <w:divBdr>
        <w:top w:val="none" w:sz="0" w:space="0" w:color="auto"/>
        <w:left w:val="none" w:sz="0" w:space="0" w:color="auto"/>
        <w:bottom w:val="none" w:sz="0" w:space="0" w:color="auto"/>
        <w:right w:val="none" w:sz="0" w:space="0" w:color="auto"/>
      </w:divBdr>
    </w:div>
    <w:div w:id="1809976020">
      <w:bodyDiv w:val="1"/>
      <w:marLeft w:val="0"/>
      <w:marRight w:val="0"/>
      <w:marTop w:val="0"/>
      <w:marBottom w:val="0"/>
      <w:divBdr>
        <w:top w:val="none" w:sz="0" w:space="0" w:color="auto"/>
        <w:left w:val="none" w:sz="0" w:space="0" w:color="auto"/>
        <w:bottom w:val="none" w:sz="0" w:space="0" w:color="auto"/>
        <w:right w:val="none" w:sz="0" w:space="0" w:color="auto"/>
      </w:divBdr>
    </w:div>
    <w:div w:id="1878464205">
      <w:bodyDiv w:val="1"/>
      <w:marLeft w:val="0"/>
      <w:marRight w:val="0"/>
      <w:marTop w:val="0"/>
      <w:marBottom w:val="0"/>
      <w:divBdr>
        <w:top w:val="none" w:sz="0" w:space="0" w:color="auto"/>
        <w:left w:val="none" w:sz="0" w:space="0" w:color="auto"/>
        <w:bottom w:val="none" w:sz="0" w:space="0" w:color="auto"/>
        <w:right w:val="none" w:sz="0" w:space="0" w:color="auto"/>
      </w:divBdr>
    </w:div>
    <w:div w:id="1885677662">
      <w:bodyDiv w:val="1"/>
      <w:marLeft w:val="0"/>
      <w:marRight w:val="0"/>
      <w:marTop w:val="0"/>
      <w:marBottom w:val="0"/>
      <w:divBdr>
        <w:top w:val="none" w:sz="0" w:space="0" w:color="auto"/>
        <w:left w:val="none" w:sz="0" w:space="0" w:color="auto"/>
        <w:bottom w:val="none" w:sz="0" w:space="0" w:color="auto"/>
        <w:right w:val="none" w:sz="0" w:space="0" w:color="auto"/>
      </w:divBdr>
    </w:div>
    <w:div w:id="1928538860">
      <w:bodyDiv w:val="1"/>
      <w:marLeft w:val="0"/>
      <w:marRight w:val="0"/>
      <w:marTop w:val="0"/>
      <w:marBottom w:val="0"/>
      <w:divBdr>
        <w:top w:val="none" w:sz="0" w:space="0" w:color="auto"/>
        <w:left w:val="none" w:sz="0" w:space="0" w:color="auto"/>
        <w:bottom w:val="none" w:sz="0" w:space="0" w:color="auto"/>
        <w:right w:val="none" w:sz="0" w:space="0" w:color="auto"/>
      </w:divBdr>
    </w:div>
    <w:div w:id="1972590714">
      <w:bodyDiv w:val="1"/>
      <w:marLeft w:val="0"/>
      <w:marRight w:val="0"/>
      <w:marTop w:val="0"/>
      <w:marBottom w:val="0"/>
      <w:divBdr>
        <w:top w:val="none" w:sz="0" w:space="0" w:color="auto"/>
        <w:left w:val="none" w:sz="0" w:space="0" w:color="auto"/>
        <w:bottom w:val="none" w:sz="0" w:space="0" w:color="auto"/>
        <w:right w:val="none" w:sz="0" w:space="0" w:color="auto"/>
      </w:divBdr>
    </w:div>
    <w:div w:id="2096784837">
      <w:bodyDiv w:val="1"/>
      <w:marLeft w:val="0"/>
      <w:marRight w:val="0"/>
      <w:marTop w:val="0"/>
      <w:marBottom w:val="0"/>
      <w:divBdr>
        <w:top w:val="none" w:sz="0" w:space="0" w:color="auto"/>
        <w:left w:val="none" w:sz="0" w:space="0" w:color="auto"/>
        <w:bottom w:val="none" w:sz="0" w:space="0" w:color="auto"/>
        <w:right w:val="none" w:sz="0" w:space="0" w:color="auto"/>
      </w:divBdr>
    </w:div>
    <w:div w:id="21191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mma@alexanderpr.co.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relogic.co.nz" TargetMode="External"/><Relationship Id="rId4" Type="http://schemas.openxmlformats.org/officeDocument/2006/relationships/webSettings" Target="webSettings.xml"/><Relationship Id="rId9" Type="http://schemas.openxmlformats.org/officeDocument/2006/relationships/hyperlink" Target="https://www.corelogic.co.nz/news/introducing-nz-property-market-podcas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per\Documents\TemplateCoreLogicDec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TemplateCoreLogicDec2015.dot</Template>
  <TotalTime>0</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3/2/2010</vt:lpstr>
    </vt:vector>
  </TitlesOfParts>
  <Company>ChromaCreative</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3/2/2010</dc:title>
  <dc:subject/>
  <dc:creator>Michelle McKinnon</dc:creator>
  <cp:keywords/>
  <cp:lastModifiedBy>Mark Ferguson</cp:lastModifiedBy>
  <cp:revision>2</cp:revision>
  <cp:lastPrinted>2021-02-23T19:34:00Z</cp:lastPrinted>
  <dcterms:created xsi:type="dcterms:W3CDTF">2021-08-02T22:17:00Z</dcterms:created>
  <dcterms:modified xsi:type="dcterms:W3CDTF">2021-08-02T22:17:00Z</dcterms:modified>
</cp:coreProperties>
</file>